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left"/>
        <w:rPr>
          <w:rFonts w:ascii="宋体" w:eastAsia="宋体" w:cs="宋体" w:hint="eastAsia"/>
          <w:b/>
          <w:bCs/>
        </w:rPr>
      </w:pPr>
      <w:bookmarkStart w:id="0" w:name="_GoBack"/>
      <w:bookmarkEnd w:id="0"/>
      <w:r>
        <w:rPr>
          <w:rFonts w:ascii="宋体" w:eastAsia="宋体" w:cs="宋体" w:hint="eastAsia"/>
          <w:b/>
          <w:bCs/>
        </w:rPr>
        <w:t>附件1</w:t>
      </w:r>
    </w:p>
    <w:p>
      <w:pPr>
        <w:spacing w:line="560" w:lineRule="exact"/>
        <w:jc w:val="center"/>
        <w:rPr>
          <w:rFonts w:ascii="宋体" w:eastAsia="宋体" w:cs="宋体" w:hint="eastAsia"/>
          <w:b/>
          <w:bCs/>
        </w:rPr>
      </w:pPr>
      <w:r>
        <w:rPr>
          <w:rFonts w:ascii="宋体" w:eastAsia="宋体" w:cs="宋体" w:hint="eastAsia"/>
          <w:b/>
          <w:bCs/>
        </w:rPr>
        <w:t>采购需求</w:t>
      </w:r>
    </w:p>
    <w:tbl>
      <w:tblPr>
        <w:tblpPr w:leftFromText="180" w:rightFromText="180" w:vertAnchor="text" w:horzAnchor="page" w:tblpX="1549" w:tblpY="97"/>
        <w:tblOverlap w:val="neve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0"/>
        <w:gridCol w:w="1245"/>
        <w:gridCol w:w="720"/>
        <w:gridCol w:w="720"/>
        <w:gridCol w:w="3435"/>
        <w:gridCol w:w="2339"/>
      </w:tblGrid>
      <w:tr>
        <w:trPr>
          <w:trHeight w:val="282"/>
        </w:trPr>
        <w:tc>
          <w:tcPr>
            <w:tcW w:w="9179" w:type="dxa"/>
            <w:gridSpan w:val="6"/>
            <w:tcBorders>
              <w:tl2br w:val="nil"/>
              <w:tr2bl w:val="nil"/>
            </w:tcBorders>
            <w:shd w:val="clear" w:color="auto" w:fill="auto"/>
            <w:vAlign w:val="center"/>
          </w:tcPr>
          <w:p>
            <w:pPr>
              <w:pStyle w:val="68"/>
              <w:widowControl/>
              <w:jc w:val="left"/>
              <w:textAlignment w:val="center"/>
              <w:rPr>
                <w:rFonts w:ascii="宋体" w:eastAsia="宋体" w:cs="宋体" w:hint="eastAsia"/>
                <w:b/>
                <w:bCs/>
                <w:color w:val="000000"/>
                <w:kern w:val="0"/>
                <w:szCs w:val="21"/>
                <w:lang w:bidi="ar-SA"/>
              </w:rPr>
            </w:pPr>
            <w:r>
              <w:rPr>
                <w:rFonts w:ascii="宋体" w:eastAsia="宋体" w:cs="宋体" w:hint="eastAsia"/>
                <w:b/>
                <w:bCs/>
                <w:color w:val="000000"/>
                <w:kern w:val="0"/>
                <w:szCs w:val="21"/>
                <w:lang w:bidi="ar-SA"/>
              </w:rPr>
              <w:t>一、项目要求</w:t>
            </w:r>
          </w:p>
        </w:tc>
      </w:tr>
      <w:tr>
        <w:trPr>
          <w:trHeight w:val="282"/>
        </w:trPr>
        <w:tc>
          <w:tcPr>
            <w:tcW w:w="720" w:type="dxa"/>
            <w:tcBorders>
              <w:tl2br w:val="nil"/>
              <w:tr2bl w:val="nil"/>
            </w:tcBorders>
            <w:shd w:val="clear" w:color="auto" w:fill="auto"/>
            <w:vAlign w:val="center"/>
          </w:tcPr>
          <w:p>
            <w:pPr>
              <w:pStyle w:val="72"/>
              <w:widowControl/>
              <w:jc w:val="center"/>
              <w:textAlignment w:val="center"/>
              <w:rPr>
                <w:rFonts w:ascii="宋体" w:eastAsia="宋体" w:cs="宋体" w:hint="eastAsia"/>
                <w:b/>
                <w:bCs/>
                <w:color w:val="000000"/>
                <w:szCs w:val="21"/>
                <w:lang w:bidi="ar-SA"/>
              </w:rPr>
            </w:pPr>
            <w:r>
              <w:rPr>
                <w:rFonts w:ascii="宋体" w:eastAsia="宋体" w:cs="宋体" w:hint="eastAsia"/>
                <w:b/>
                <w:bCs/>
                <w:color w:val="000000"/>
                <w:kern w:val="0"/>
                <w:szCs w:val="21"/>
                <w:lang w:bidi="ar-SA"/>
              </w:rPr>
              <w:t>序号</w:t>
            </w:r>
          </w:p>
        </w:tc>
        <w:tc>
          <w:tcPr>
            <w:tcW w:w="1245" w:type="dxa"/>
            <w:tcBorders>
              <w:tl2br w:val="nil"/>
              <w:tr2bl w:val="nil"/>
            </w:tcBorders>
            <w:shd w:val="clear" w:color="auto" w:fill="auto"/>
            <w:vAlign w:val="center"/>
          </w:tcPr>
          <w:p>
            <w:pPr>
              <w:pStyle w:val="71"/>
              <w:widowControl/>
              <w:jc w:val="center"/>
              <w:textAlignment w:val="center"/>
              <w:rPr>
                <w:rFonts w:ascii="宋体" w:eastAsia="宋体" w:cs="宋体" w:hint="eastAsia"/>
                <w:b/>
                <w:bCs/>
                <w:color w:val="000000"/>
                <w:szCs w:val="21"/>
                <w:lang w:bidi="ar-SA"/>
              </w:rPr>
            </w:pPr>
            <w:r>
              <w:rPr>
                <w:rFonts w:ascii="宋体" w:eastAsia="宋体" w:cs="宋体" w:hint="eastAsia"/>
                <w:b/>
                <w:bCs/>
                <w:color w:val="000000"/>
                <w:kern w:val="0"/>
                <w:szCs w:val="21"/>
                <w:lang w:bidi="ar-SA"/>
              </w:rPr>
              <w:t>名称</w:t>
            </w:r>
          </w:p>
        </w:tc>
        <w:tc>
          <w:tcPr>
            <w:tcW w:w="720" w:type="dxa"/>
            <w:tcBorders>
              <w:tl2br w:val="nil"/>
              <w:tr2bl w:val="nil"/>
            </w:tcBorders>
            <w:shd w:val="clear" w:color="auto" w:fill="auto"/>
            <w:vAlign w:val="center"/>
          </w:tcPr>
          <w:p>
            <w:pPr>
              <w:pStyle w:val="70"/>
              <w:widowControl/>
              <w:jc w:val="center"/>
              <w:textAlignment w:val="center"/>
              <w:rPr>
                <w:rFonts w:ascii="宋体" w:eastAsia="宋体" w:cs="宋体" w:hint="eastAsia"/>
                <w:b/>
                <w:bCs/>
                <w:color w:val="000000"/>
                <w:kern w:val="0"/>
                <w:szCs w:val="21"/>
                <w:lang w:bidi="ar-SA"/>
              </w:rPr>
            </w:pPr>
            <w:r>
              <w:rPr>
                <w:rFonts w:ascii="宋体" w:eastAsia="宋体" w:cs="宋体" w:hint="eastAsia"/>
                <w:b/>
                <w:bCs/>
                <w:color w:val="000000"/>
                <w:kern w:val="0"/>
                <w:szCs w:val="21"/>
                <w:lang w:bidi="ar-SA"/>
              </w:rPr>
              <w:t>数量</w:t>
            </w:r>
          </w:p>
        </w:tc>
        <w:tc>
          <w:tcPr>
            <w:tcW w:w="720" w:type="dxa"/>
            <w:tcBorders>
              <w:tl2br w:val="nil"/>
              <w:tr2bl w:val="nil"/>
            </w:tcBorders>
            <w:shd w:val="clear" w:color="auto" w:fill="auto"/>
            <w:vAlign w:val="center"/>
          </w:tcPr>
          <w:p>
            <w:pPr>
              <w:pStyle w:val="69"/>
              <w:widowControl/>
              <w:jc w:val="center"/>
              <w:textAlignment w:val="center"/>
              <w:rPr>
                <w:rFonts w:ascii="宋体" w:eastAsia="宋体" w:cs="宋体" w:hint="eastAsia"/>
                <w:b/>
                <w:bCs/>
                <w:color w:val="000000"/>
                <w:kern w:val="0"/>
                <w:szCs w:val="21"/>
                <w:lang w:bidi="ar-SA"/>
              </w:rPr>
            </w:pPr>
            <w:r>
              <w:rPr>
                <w:rFonts w:ascii="宋体" w:eastAsia="宋体" w:cs="宋体" w:hint="eastAsia"/>
                <w:b/>
                <w:bCs/>
                <w:color w:val="000000"/>
                <w:kern w:val="0"/>
                <w:szCs w:val="21"/>
                <w:lang w:bidi="ar-SA"/>
              </w:rPr>
              <w:t>单位</w:t>
            </w:r>
          </w:p>
        </w:tc>
        <w:tc>
          <w:tcPr>
            <w:tcW w:w="3435" w:type="dxa"/>
            <w:tcBorders>
              <w:tl2br w:val="nil"/>
              <w:tr2bl w:val="nil"/>
            </w:tcBorders>
            <w:shd w:val="clear" w:color="auto" w:fill="auto"/>
            <w:vAlign w:val="center"/>
          </w:tcPr>
          <w:p>
            <w:pPr>
              <w:pStyle w:val="69"/>
              <w:widowControl/>
              <w:jc w:val="center"/>
              <w:textAlignment w:val="center"/>
              <w:rPr>
                <w:rFonts w:ascii="宋体" w:eastAsia="宋体" w:cs="宋体" w:hint="eastAsia"/>
                <w:b/>
                <w:bCs/>
                <w:color w:val="000000"/>
                <w:szCs w:val="21"/>
                <w:lang w:bidi="ar-SA"/>
              </w:rPr>
            </w:pPr>
            <w:r>
              <w:rPr>
                <w:rFonts w:ascii="宋体" w:eastAsia="宋体" w:cs="宋体" w:hint="eastAsia"/>
                <w:b/>
                <w:bCs/>
                <w:color w:val="000000"/>
                <w:kern w:val="0"/>
                <w:szCs w:val="21"/>
                <w:lang w:bidi="ar-SA"/>
              </w:rPr>
              <w:t>需求内容</w:t>
            </w:r>
          </w:p>
        </w:tc>
        <w:tc>
          <w:tcPr>
            <w:tcW w:w="2339" w:type="dxa"/>
            <w:tcBorders>
              <w:tl2br w:val="nil"/>
              <w:tr2bl w:val="nil"/>
            </w:tcBorders>
            <w:shd w:val="clear" w:color="auto" w:fill="auto"/>
            <w:vAlign w:val="center"/>
          </w:tcPr>
          <w:p>
            <w:pPr>
              <w:pStyle w:val="68"/>
              <w:widowControl/>
              <w:jc w:val="center"/>
              <w:textAlignment w:val="center"/>
              <w:rPr>
                <w:rFonts w:ascii="宋体" w:eastAsia="宋体" w:cs="宋体" w:hint="eastAsia"/>
                <w:b/>
                <w:bCs/>
                <w:color w:val="000000"/>
                <w:szCs w:val="21"/>
                <w:lang w:bidi="ar-SA"/>
              </w:rPr>
            </w:pPr>
            <w:r>
              <w:rPr>
                <w:rFonts w:ascii="宋体" w:eastAsia="宋体" w:cs="宋体" w:hint="eastAsia"/>
                <w:b/>
                <w:bCs/>
                <w:color w:val="000000"/>
                <w:kern w:val="0"/>
                <w:szCs w:val="21"/>
                <w:lang w:bidi="ar-SA"/>
              </w:rPr>
              <w:t>包装清单（单套）</w:t>
            </w:r>
          </w:p>
        </w:tc>
      </w:tr>
      <w:tr>
        <w:trPr>
          <w:trHeight w:val="283"/>
        </w:trPr>
        <w:tc>
          <w:tcPr>
            <w:tcW w:w="720" w:type="dxa"/>
            <w:tcBorders>
              <w:tl2br w:val="nil"/>
              <w:tr2bl w:val="nil"/>
            </w:tcBorders>
            <w:shd w:val="clear" w:color="auto" w:fill="auto"/>
            <w:vAlign w:val="center"/>
          </w:tcPr>
          <w:p>
            <w:pPr>
              <w:pStyle w:val="67"/>
              <w:widowControl/>
              <w:jc w:val="center"/>
              <w:textAlignment w:val="center"/>
              <w:rPr>
                <w:rFonts w:ascii="宋体" w:eastAsia="宋体" w:cs="宋体" w:hint="eastAsia"/>
                <w:color w:val="000000"/>
                <w:szCs w:val="21"/>
                <w:lang w:bidi="ar-SA"/>
              </w:rPr>
            </w:pPr>
            <w:r>
              <w:rPr>
                <w:rFonts w:ascii="宋体" w:eastAsia="宋体" w:cs="宋体" w:hint="eastAsia"/>
                <w:color w:val="000000"/>
                <w:kern w:val="0"/>
                <w:szCs w:val="21"/>
                <w:lang w:bidi="ar-SA"/>
              </w:rPr>
              <w:t>1</w:t>
            </w:r>
          </w:p>
        </w:tc>
        <w:tc>
          <w:tcPr>
            <w:tcW w:w="1245" w:type="dxa"/>
            <w:tcBorders>
              <w:tl2br w:val="nil"/>
              <w:tr2bl w:val="nil"/>
            </w:tcBorders>
            <w:shd w:val="clear" w:color="auto" w:fill="auto"/>
            <w:vAlign w:val="center"/>
          </w:tcPr>
          <w:p>
            <w:pPr>
              <w:pStyle w:val="66"/>
              <w:widowControl/>
              <w:jc w:val="left"/>
              <w:textAlignment w:val="center"/>
              <w:rPr>
                <w:rFonts w:ascii="宋体" w:eastAsia="宋体" w:cs="宋体" w:hint="eastAsia"/>
                <w:color w:val="000000"/>
                <w:szCs w:val="21"/>
                <w:lang w:eastAsia="zh-CN" w:bidi="ar-SA"/>
              </w:rPr>
            </w:pPr>
            <w:r>
              <w:rPr>
                <w:rFonts w:ascii="宋体" w:cs="宋体" w:hint="eastAsia"/>
                <w:color w:val="000000"/>
                <w:szCs w:val="21"/>
                <w:lang w:eastAsia="zh-CN" w:bidi="ar-SA"/>
              </w:rPr>
              <w:t>低速大容量离心机</w:t>
            </w:r>
          </w:p>
        </w:tc>
        <w:tc>
          <w:tcPr>
            <w:tcW w:w="720" w:type="dxa"/>
            <w:tcBorders>
              <w:tl2br w:val="nil"/>
              <w:tr2bl w:val="nil"/>
            </w:tcBorders>
            <w:shd w:val="clear" w:color="auto" w:fill="auto"/>
            <w:vAlign w:val="center"/>
          </w:tcPr>
          <w:p>
            <w:pPr>
              <w:pStyle w:val="65"/>
              <w:widowControl/>
              <w:jc w:val="center"/>
              <w:textAlignment w:val="center"/>
              <w:rPr>
                <w:rFonts w:ascii="宋体" w:eastAsia="宋体" w:cs="宋体" w:hint="eastAsia"/>
                <w:color w:val="000000"/>
                <w:kern w:val="0"/>
                <w:szCs w:val="21"/>
                <w:lang w:bidi="ar-SA"/>
              </w:rPr>
            </w:pPr>
            <w:r>
              <w:rPr>
                <w:rFonts w:ascii="宋体" w:eastAsia="宋体" w:cs="宋体" w:hint="eastAsia"/>
                <w:color w:val="000000"/>
                <w:kern w:val="0"/>
                <w:szCs w:val="21"/>
                <w:lang w:bidi="ar-SA"/>
              </w:rPr>
              <w:t>1</w:t>
            </w:r>
          </w:p>
        </w:tc>
        <w:tc>
          <w:tcPr>
            <w:tcW w:w="720" w:type="dxa"/>
            <w:tcBorders>
              <w:tl2br w:val="nil"/>
              <w:tr2bl w:val="nil"/>
            </w:tcBorders>
            <w:shd w:val="clear" w:color="auto" w:fill="auto"/>
            <w:vAlign w:val="center"/>
          </w:tcPr>
          <w:p>
            <w:pPr>
              <w:pStyle w:val="64"/>
              <w:widowControl/>
              <w:jc w:val="center"/>
              <w:textAlignment w:val="center"/>
              <w:rPr>
                <w:rFonts w:ascii="宋体" w:eastAsia="宋体" w:cs="宋体" w:hint="eastAsia"/>
                <w:color w:val="000000"/>
                <w:szCs w:val="21"/>
                <w:lang w:bidi="ar-SA"/>
              </w:rPr>
            </w:pPr>
            <w:r>
              <w:rPr>
                <w:rFonts w:ascii="宋体" w:eastAsia="宋体" w:cs="宋体" w:hint="eastAsia"/>
                <w:color w:val="000000"/>
                <w:szCs w:val="21"/>
                <w:lang w:bidi="ar-SA"/>
              </w:rPr>
              <w:t>台</w:t>
            </w:r>
          </w:p>
        </w:tc>
        <w:tc>
          <w:tcPr>
            <w:tcW w:w="3435" w:type="dxa"/>
            <w:tcBorders>
              <w:tl2br w:val="nil"/>
              <w:tr2bl w:val="nil"/>
            </w:tcBorders>
            <w:shd w:val="clear" w:color="auto" w:fill="auto"/>
            <w:vAlign w:val="center"/>
          </w:tcPr>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lang w:eastAsia="zh-CN"/>
              </w:rPr>
            </w:pPr>
            <w:r>
              <w:rPr>
                <w:rFonts w:ascii="宋体" w:eastAsia="宋体" w:cs="宋体" w:hint="eastAsia"/>
                <w:sz w:val="21"/>
                <w:szCs w:val="21"/>
              </w:rPr>
              <w:t>1.主要用途：</w:t>
            </w:r>
            <w:r>
              <w:rPr>
                <w:rFonts w:ascii="宋体" w:eastAsia="宋体" w:cs="宋体" w:hint="eastAsia"/>
                <w:sz w:val="21"/>
                <w:szCs w:val="21"/>
                <w:lang w:eastAsia="zh-CN"/>
              </w:rPr>
              <w:t>对常规理化样品、微生物样品进行分离沉淀和浓缩。</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lang w:eastAsia="zh-CN"/>
              </w:rPr>
            </w:pPr>
            <w:r>
              <w:rPr>
                <w:rFonts w:ascii="宋体" w:eastAsia="宋体" w:cs="宋体" w:hint="eastAsia"/>
                <w:sz w:val="21"/>
                <w:szCs w:val="21"/>
              </w:rPr>
              <w:t>2.特殊资质要求</w:t>
            </w:r>
            <w:r>
              <w:rPr>
                <w:rFonts w:ascii="宋体" w:eastAsia="宋体" w:cs="宋体" w:hint="eastAsia"/>
                <w:sz w:val="21"/>
                <w:szCs w:val="21"/>
                <w:lang w:eastAsia="zh-CN"/>
              </w:rPr>
              <w:t>：无</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lang w:val="en-US" w:eastAsia="zh-CN"/>
              </w:rPr>
            </w:pPr>
            <w:r>
              <w:rPr>
                <w:rFonts w:ascii="宋体" w:eastAsia="宋体" w:cs="宋体" w:hint="eastAsia"/>
                <w:sz w:val="21"/>
                <w:szCs w:val="21"/>
              </w:rPr>
              <w:t>3.主要技术参数：</w:t>
            </w:r>
            <w:r>
              <w:rPr>
                <w:rFonts w:ascii="宋体" w:eastAsia="宋体" w:cs="宋体" w:hint="eastAsia"/>
                <w:sz w:val="21"/>
                <w:szCs w:val="21"/>
                <w:lang w:val="en-US" w:eastAsia="zh-CN"/>
              </w:rPr>
              <w:t xml:space="preserve">                                                                                                                                                                                          </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lang w:eastAsia="zh-CN"/>
              </w:rPr>
            </w:pPr>
            <w:r>
              <w:rPr>
                <w:rFonts w:ascii="宋体" w:eastAsia="宋体" w:cs="宋体" w:hint="eastAsia"/>
                <w:sz w:val="21"/>
                <w:szCs w:val="21"/>
              </w:rPr>
              <w:t>★</w:t>
            </w:r>
            <w:r>
              <w:rPr>
                <w:rFonts w:ascii="宋体" w:eastAsia="宋体" w:cs="宋体" w:hint="eastAsia"/>
                <w:sz w:val="21"/>
                <w:szCs w:val="21"/>
                <w:lang w:val="en-US" w:eastAsia="zh-CN"/>
              </w:rPr>
              <w:t xml:space="preserve">3.1 </w:t>
            </w:r>
            <w:r>
              <w:rPr>
                <w:rFonts w:ascii="宋体" w:eastAsia="宋体" w:cs="宋体" w:hint="eastAsia"/>
                <w:sz w:val="21"/>
                <w:szCs w:val="21"/>
              </w:rPr>
              <w:t>既能角转子高速离心，又能水平转子大容量离心</w:t>
            </w:r>
            <w:r>
              <w:rPr>
                <w:rFonts w:ascii="宋体" w:eastAsia="宋体" w:cs="宋体" w:hint="eastAsia"/>
                <w:sz w:val="21"/>
                <w:szCs w:val="21"/>
                <w:lang w:eastAsia="zh-CN"/>
              </w:rPr>
              <w:t>。</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lang w:eastAsia="zh-CN"/>
              </w:rPr>
            </w:pPr>
            <w:r>
              <w:rPr>
                <w:rFonts w:ascii="宋体" w:eastAsia="宋体" w:cs="宋体" w:hint="eastAsia"/>
                <w:sz w:val="21"/>
                <w:szCs w:val="21"/>
                <w:highlight w:val="auto"/>
              </w:rPr>
              <w:t>★</w:t>
            </w:r>
            <w:r>
              <w:rPr>
                <w:rFonts w:ascii="宋体" w:eastAsia="宋体" w:cs="宋体" w:hint="eastAsia"/>
                <w:sz w:val="21"/>
                <w:szCs w:val="21"/>
                <w:lang w:val="en-US" w:eastAsia="zh-CN"/>
              </w:rPr>
              <w:t xml:space="preserve">3.2 </w:t>
            </w:r>
            <w:r>
              <w:rPr>
                <w:rFonts w:ascii="宋体" w:eastAsia="宋体" w:cs="宋体" w:hint="eastAsia"/>
                <w:sz w:val="21"/>
                <w:szCs w:val="21"/>
              </w:rPr>
              <w:t>温控范围：</w:t>
            </w:r>
            <w:r>
              <w:rPr>
                <w:rFonts w:ascii="宋体" w:eastAsia="宋体" w:cs="宋体" w:hint="eastAsia"/>
                <w:sz w:val="21"/>
                <w:szCs w:val="21"/>
                <w:lang w:val="en-US" w:eastAsia="zh-CN"/>
              </w:rPr>
              <w:t>-20</w:t>
            </w:r>
            <w:r>
              <w:rPr>
                <w:rFonts w:ascii="宋体" w:eastAsia="宋体" w:cs="宋体" w:hint="eastAsia"/>
                <w:sz w:val="21"/>
                <w:szCs w:val="21"/>
              </w:rPr>
              <w:t>℃</w:t>
            </w:r>
            <w:r>
              <w:rPr>
                <w:rFonts w:ascii="宋体" w:eastAsia="宋体" w:cs="宋体" w:hint="eastAsia"/>
                <w:sz w:val="21"/>
                <w:szCs w:val="21"/>
                <w:lang w:val="en-US"/>
              </w:rPr>
              <w:t>~</w:t>
            </w:r>
            <w:r>
              <w:rPr>
                <w:rFonts w:ascii="宋体" w:eastAsia="宋体" w:cs="宋体" w:hint="eastAsia"/>
                <w:sz w:val="21"/>
                <w:szCs w:val="21"/>
              </w:rPr>
              <w:t>40℃</w:t>
            </w:r>
            <w:r>
              <w:rPr>
                <w:rFonts w:ascii="宋体" w:eastAsia="宋体" w:cs="宋体" w:hint="eastAsia"/>
                <w:sz w:val="21"/>
                <w:szCs w:val="21"/>
                <w:lang w:eastAsia="zh-CN"/>
              </w:rPr>
              <w:t>，</w:t>
            </w:r>
            <w:r>
              <w:rPr>
                <w:rFonts w:ascii="宋体" w:eastAsia="宋体" w:cs="宋体" w:hint="eastAsia"/>
                <w:sz w:val="21"/>
                <w:szCs w:val="21"/>
              </w:rPr>
              <w:t>温控精度：±1℃</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rPr>
              <w:t>▲</w:t>
            </w:r>
            <w:r>
              <w:rPr>
                <w:rFonts w:ascii="宋体" w:eastAsia="宋体" w:cs="宋体" w:hint="eastAsia"/>
                <w:sz w:val="21"/>
                <w:szCs w:val="21"/>
                <w:lang w:val="en-US" w:eastAsia="zh-CN"/>
              </w:rPr>
              <w:t>3.3</w:t>
            </w:r>
            <w:r>
              <w:rPr>
                <w:rFonts w:ascii="宋体" w:eastAsia="宋体" w:cs="宋体" w:hint="eastAsia"/>
                <w:sz w:val="21"/>
                <w:szCs w:val="21"/>
              </w:rPr>
              <w:t>角转子8×15m</w:t>
            </w:r>
            <w:r>
              <w:rPr>
                <w:rFonts w:ascii="宋体" w:eastAsia="宋体" w:cs="宋体" w:hint="eastAsia"/>
                <w:sz w:val="21"/>
                <w:szCs w:val="21"/>
                <w:lang w:eastAsia="zh-CN"/>
              </w:rPr>
              <w:t>L</w:t>
            </w:r>
            <w:r>
              <w:rPr>
                <w:rFonts w:ascii="宋体" w:eastAsia="宋体" w:cs="宋体" w:hint="eastAsia"/>
                <w:sz w:val="21"/>
                <w:szCs w:val="21"/>
              </w:rPr>
              <w:t>（最高转速12000r/min</w:t>
            </w:r>
            <w:r>
              <w:rPr>
                <w:rFonts w:ascii="宋体" w:eastAsia="宋体" w:cs="宋体" w:hint="eastAsia"/>
                <w:sz w:val="21"/>
                <w:szCs w:val="21"/>
                <w:lang w:eastAsia="zh-CN"/>
              </w:rPr>
              <w:t>，</w:t>
            </w:r>
            <w:r>
              <w:rPr>
                <w:rFonts w:ascii="宋体" w:eastAsia="宋体" w:cs="宋体" w:hint="eastAsia"/>
                <w:sz w:val="21"/>
                <w:szCs w:val="21"/>
              </w:rPr>
              <w:t>最大相对离心力</w:t>
            </w:r>
            <w:r>
              <w:rPr>
                <w:rFonts w:ascii="宋体" w:eastAsia="宋体" w:cs="宋体" w:hint="eastAsia"/>
                <w:sz w:val="21"/>
                <w:szCs w:val="21"/>
                <w:lang w:val="en-US" w:eastAsia="zh-CN"/>
              </w:rPr>
              <w:t>1674</w:t>
            </w:r>
            <w:r>
              <w:rPr>
                <w:rFonts w:ascii="宋体" w:eastAsia="宋体" w:cs="宋体" w:hint="eastAsia"/>
                <w:sz w:val="21"/>
                <w:szCs w:val="21"/>
              </w:rPr>
              <w:t>0×g）</w:t>
            </w:r>
            <w:r>
              <w:rPr>
                <w:rFonts w:ascii="宋体" w:eastAsia="宋体" w:cs="宋体" w:hint="eastAsia"/>
                <w:sz w:val="21"/>
                <w:szCs w:val="21"/>
                <w:lang w:eastAsia="zh-CN"/>
              </w:rPr>
              <w:t>；</w:t>
            </w:r>
            <w:r>
              <w:rPr>
                <w:rFonts w:ascii="宋体" w:eastAsia="宋体" w:cs="宋体" w:hint="eastAsia"/>
                <w:sz w:val="21"/>
                <w:szCs w:val="21"/>
              </w:rPr>
              <w:t>角转子6×50m</w:t>
            </w:r>
            <w:r>
              <w:rPr>
                <w:rFonts w:ascii="宋体" w:eastAsia="宋体" w:cs="宋体" w:hint="eastAsia"/>
                <w:sz w:val="21"/>
                <w:szCs w:val="21"/>
                <w:lang w:eastAsia="zh-CN"/>
              </w:rPr>
              <w:t>L</w:t>
            </w:r>
            <w:r>
              <w:rPr>
                <w:rFonts w:ascii="宋体" w:eastAsia="宋体" w:cs="宋体" w:hint="eastAsia"/>
                <w:sz w:val="21"/>
                <w:szCs w:val="21"/>
              </w:rPr>
              <w:t>（最高转速13000r/min</w:t>
            </w:r>
            <w:r>
              <w:rPr>
                <w:rFonts w:ascii="宋体" w:eastAsia="宋体" w:cs="宋体" w:hint="eastAsia"/>
                <w:sz w:val="21"/>
                <w:szCs w:val="21"/>
                <w:lang w:eastAsia="zh-CN"/>
              </w:rPr>
              <w:t>，</w:t>
            </w:r>
            <w:r>
              <w:rPr>
                <w:rFonts w:ascii="宋体" w:eastAsia="宋体" w:cs="宋体" w:hint="eastAsia"/>
                <w:sz w:val="21"/>
                <w:szCs w:val="21"/>
              </w:rPr>
              <w:t>最大相对离心力</w:t>
            </w:r>
            <w:r>
              <w:rPr>
                <w:rFonts w:ascii="宋体" w:eastAsia="宋体" w:cs="宋体" w:hint="eastAsia"/>
                <w:sz w:val="21"/>
                <w:szCs w:val="21"/>
                <w:lang w:val="en-US" w:eastAsia="zh-CN"/>
              </w:rPr>
              <w:t>19080</w:t>
            </w:r>
            <w:r>
              <w:rPr>
                <w:rFonts w:ascii="宋体" w:eastAsia="宋体" w:cs="宋体" w:hint="eastAsia"/>
                <w:sz w:val="21"/>
                <w:szCs w:val="21"/>
              </w:rPr>
              <w:t>×g）</w:t>
            </w:r>
            <w:r>
              <w:rPr>
                <w:rFonts w:ascii="宋体" w:eastAsia="宋体" w:cs="宋体" w:hint="eastAsia"/>
                <w:sz w:val="21"/>
                <w:szCs w:val="21"/>
                <w:lang w:eastAsia="zh-CN"/>
              </w:rPr>
              <w:t>；</w:t>
            </w:r>
            <w:r>
              <w:rPr>
                <w:rFonts w:ascii="宋体" w:eastAsia="宋体" w:cs="宋体" w:hint="eastAsia"/>
                <w:sz w:val="21"/>
                <w:szCs w:val="21"/>
              </w:rPr>
              <w:t>角转子4×100m</w:t>
            </w:r>
            <w:r>
              <w:rPr>
                <w:rFonts w:ascii="宋体" w:eastAsia="宋体" w:cs="宋体" w:hint="eastAsia"/>
                <w:sz w:val="21"/>
                <w:szCs w:val="21"/>
                <w:lang w:eastAsia="zh-CN"/>
              </w:rPr>
              <w:t>L</w:t>
            </w:r>
            <w:r>
              <w:rPr>
                <w:rFonts w:ascii="宋体" w:eastAsia="宋体" w:cs="宋体" w:hint="eastAsia"/>
                <w:sz w:val="21"/>
                <w:szCs w:val="21"/>
              </w:rPr>
              <w:t>（最高转速10000r/min</w:t>
            </w:r>
            <w:r>
              <w:rPr>
                <w:rFonts w:ascii="宋体" w:eastAsia="宋体" w:cs="宋体" w:hint="eastAsia"/>
                <w:sz w:val="21"/>
                <w:szCs w:val="21"/>
                <w:lang w:eastAsia="zh-CN"/>
              </w:rPr>
              <w:t>，</w:t>
            </w:r>
            <w:r>
              <w:rPr>
                <w:rFonts w:ascii="宋体" w:eastAsia="宋体" w:cs="宋体" w:hint="eastAsia"/>
                <w:sz w:val="21"/>
                <w:szCs w:val="21"/>
              </w:rPr>
              <w:t>最大相对离心力</w:t>
            </w:r>
            <w:r>
              <w:rPr>
                <w:rFonts w:ascii="宋体" w:eastAsia="宋体" w:cs="宋体" w:hint="eastAsia"/>
                <w:sz w:val="21"/>
                <w:szCs w:val="21"/>
                <w:lang w:val="en-US" w:eastAsia="zh-CN"/>
              </w:rPr>
              <w:t>12290</w:t>
            </w:r>
            <w:r>
              <w:rPr>
                <w:rFonts w:ascii="宋体" w:eastAsia="宋体" w:cs="宋体" w:hint="eastAsia"/>
                <w:sz w:val="21"/>
                <w:szCs w:val="21"/>
              </w:rPr>
              <w:t>×g）</w:t>
            </w:r>
            <w:r>
              <w:rPr>
                <w:rFonts w:ascii="宋体" w:eastAsia="宋体" w:cs="宋体" w:hint="eastAsia"/>
                <w:sz w:val="21"/>
                <w:szCs w:val="21"/>
                <w:lang w:eastAsia="zh-CN"/>
              </w:rPr>
              <w:t>；</w:t>
            </w:r>
            <w:r>
              <w:rPr>
                <w:rFonts w:ascii="宋体" w:eastAsia="宋体" w:cs="宋体" w:hint="eastAsia"/>
                <w:sz w:val="21"/>
                <w:szCs w:val="21"/>
              </w:rPr>
              <w:t>水平转子（含适配器）4×250m</w:t>
            </w:r>
            <w:r>
              <w:rPr>
                <w:rFonts w:ascii="宋体" w:eastAsia="宋体" w:cs="宋体" w:hint="eastAsia"/>
                <w:sz w:val="21"/>
                <w:szCs w:val="21"/>
                <w:lang w:eastAsia="zh-CN"/>
              </w:rPr>
              <w:t>L</w:t>
            </w:r>
            <w:r>
              <w:rPr>
                <w:rFonts w:ascii="宋体" w:eastAsia="宋体" w:cs="宋体" w:hint="eastAsia"/>
                <w:sz w:val="21"/>
                <w:szCs w:val="21"/>
              </w:rPr>
              <w:t>（最高转速4000r/min</w:t>
            </w:r>
            <w:r>
              <w:rPr>
                <w:rFonts w:ascii="宋体" w:eastAsia="宋体" w:cs="宋体" w:hint="eastAsia"/>
                <w:sz w:val="21"/>
                <w:szCs w:val="21"/>
                <w:lang w:eastAsia="zh-CN"/>
              </w:rPr>
              <w:t>，</w:t>
            </w:r>
            <w:r>
              <w:rPr>
                <w:rFonts w:ascii="宋体" w:eastAsia="宋体" w:cs="宋体" w:hint="eastAsia"/>
                <w:sz w:val="21"/>
                <w:szCs w:val="21"/>
              </w:rPr>
              <w:t>最大相对离心力</w:t>
            </w:r>
            <w:r>
              <w:rPr>
                <w:rFonts w:ascii="宋体" w:eastAsia="宋体" w:cs="宋体" w:hint="eastAsia"/>
                <w:sz w:val="21"/>
                <w:szCs w:val="21"/>
                <w:lang w:val="en-US" w:eastAsia="zh-CN"/>
              </w:rPr>
              <w:t>2930</w:t>
            </w:r>
            <w:r>
              <w:rPr>
                <w:rFonts w:ascii="宋体" w:eastAsia="宋体" w:cs="宋体" w:hint="eastAsia"/>
                <w:sz w:val="21"/>
                <w:szCs w:val="21"/>
              </w:rPr>
              <w:t>×g）</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rPr>
              <w:t>▲</w:t>
            </w:r>
            <w:r>
              <w:rPr>
                <w:rFonts w:ascii="宋体" w:eastAsia="宋体" w:cs="宋体" w:hint="eastAsia"/>
                <w:sz w:val="21"/>
                <w:szCs w:val="21"/>
                <w:lang w:val="en-US" w:eastAsia="zh-CN"/>
              </w:rPr>
              <w:t>3.4</w:t>
            </w:r>
            <w:r>
              <w:rPr>
                <w:rFonts w:ascii="宋体" w:eastAsia="宋体" w:cs="宋体" w:hint="eastAsia"/>
                <w:sz w:val="21"/>
                <w:szCs w:val="21"/>
                <w:lang w:val="en-US" w:eastAsia="zh-CN"/>
                <w:highlight w:val="auto"/>
              </w:rPr>
              <w:t xml:space="preserve"> </w:t>
            </w:r>
            <w:r>
              <w:rPr>
                <w:rFonts w:ascii="宋体" w:eastAsia="宋体" w:cs="宋体" w:hint="eastAsia"/>
                <w:sz w:val="21"/>
                <w:szCs w:val="21"/>
                <w:highlight w:val="auto"/>
              </w:rPr>
              <w:t>最高转速可达20500r/min</w:t>
            </w:r>
            <w:r>
              <w:rPr>
                <w:rFonts w:ascii="宋体" w:eastAsia="宋体" w:cs="宋体" w:hint="eastAsia"/>
                <w:sz w:val="21"/>
                <w:szCs w:val="21"/>
                <w:lang w:eastAsia="zh-CN"/>
                <w:highlight w:val="auto"/>
              </w:rPr>
              <w:t>，</w:t>
            </w:r>
            <w:r>
              <w:rPr>
                <w:rFonts w:ascii="宋体" w:eastAsia="宋体" w:cs="宋体" w:hint="eastAsia"/>
                <w:sz w:val="21"/>
                <w:szCs w:val="21"/>
                <w:highlight w:val="auto"/>
              </w:rPr>
              <w:t>最大相对离心力29600×g</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lang w:eastAsia="zh-CN"/>
              </w:rPr>
            </w:pPr>
            <w:r>
              <w:rPr>
                <w:rFonts w:ascii="宋体" w:eastAsia="宋体" w:cs="宋体" w:hint="eastAsia"/>
                <w:sz w:val="21"/>
                <w:szCs w:val="21"/>
              </w:rPr>
              <w:t>▲</w:t>
            </w:r>
            <w:r>
              <w:rPr>
                <w:rFonts w:ascii="宋体" w:eastAsia="宋体" w:cs="宋体" w:hint="eastAsia"/>
                <w:sz w:val="21"/>
                <w:szCs w:val="21"/>
                <w:lang w:val="en-US" w:eastAsia="zh-CN"/>
              </w:rPr>
              <w:t xml:space="preserve">3.5 </w:t>
            </w:r>
            <w:r>
              <w:rPr>
                <w:rFonts w:ascii="宋体" w:eastAsia="宋体" w:cs="宋体" w:hint="eastAsia"/>
                <w:sz w:val="21"/>
                <w:szCs w:val="21"/>
              </w:rPr>
              <w:t>最大</w:t>
            </w:r>
            <w:r>
              <w:rPr>
                <w:rFonts w:ascii="宋体" w:eastAsia="宋体" w:cs="宋体" w:hint="eastAsia"/>
                <w:sz w:val="21"/>
                <w:szCs w:val="21"/>
                <w:lang w:eastAsia="zh-CN"/>
              </w:rPr>
              <w:t>总</w:t>
            </w:r>
            <w:r>
              <w:rPr>
                <w:rFonts w:ascii="宋体" w:eastAsia="宋体" w:cs="宋体" w:hint="eastAsia"/>
                <w:sz w:val="21"/>
                <w:szCs w:val="21"/>
              </w:rPr>
              <w:t>容量</w:t>
            </w:r>
            <w:r>
              <w:rPr>
                <w:rFonts w:ascii="宋体" w:eastAsia="宋体" w:cs="宋体" w:hint="eastAsia"/>
                <w:sz w:val="21"/>
                <w:szCs w:val="21"/>
                <w:lang w:eastAsia="zh-CN"/>
              </w:rPr>
              <w:t>：</w:t>
            </w:r>
            <w:r>
              <w:rPr>
                <w:rFonts w:ascii="宋体" w:eastAsia="宋体" w:cs="宋体" w:hint="eastAsia"/>
                <w:sz w:val="21"/>
                <w:szCs w:val="21"/>
              </w:rPr>
              <w:t>角转子：600m</w:t>
            </w:r>
            <w:r>
              <w:rPr>
                <w:rFonts w:ascii="宋体" w:eastAsia="宋体" w:cs="宋体" w:hint="eastAsia"/>
                <w:sz w:val="21"/>
                <w:szCs w:val="21"/>
                <w:lang w:eastAsia="zh-CN"/>
              </w:rPr>
              <w:t>L</w:t>
            </w:r>
            <w:r>
              <w:rPr>
                <w:rFonts w:ascii="宋体" w:eastAsia="宋体" w:cs="宋体" w:hint="eastAsia"/>
                <w:sz w:val="21"/>
                <w:szCs w:val="21"/>
              </w:rPr>
              <w:t>,水平转子：3000m</w:t>
            </w:r>
            <w:r>
              <w:rPr>
                <w:rFonts w:ascii="宋体" w:eastAsia="宋体" w:cs="宋体" w:hint="eastAsia"/>
                <w:sz w:val="21"/>
                <w:szCs w:val="21"/>
                <w:lang w:eastAsia="zh-CN"/>
              </w:rPr>
              <w:t>L</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lang w:eastAsia="zh-CN"/>
              </w:rPr>
            </w:pPr>
            <w:r>
              <w:rPr>
                <w:rFonts w:ascii="宋体" w:eastAsia="宋体" w:cs="宋体" w:hint="eastAsia"/>
                <w:sz w:val="21"/>
                <w:szCs w:val="21"/>
              </w:rPr>
              <w:t>▲</w:t>
            </w:r>
            <w:r>
              <w:rPr>
                <w:rFonts w:ascii="宋体" w:eastAsia="宋体" w:cs="宋体" w:hint="eastAsia"/>
                <w:sz w:val="21"/>
                <w:szCs w:val="21"/>
                <w:lang w:val="en-US" w:eastAsia="zh-CN"/>
              </w:rPr>
              <w:t xml:space="preserve">3.6 </w:t>
            </w:r>
            <w:r>
              <w:rPr>
                <w:rFonts w:ascii="宋体" w:eastAsia="宋体" w:cs="宋体" w:hint="eastAsia"/>
                <w:sz w:val="21"/>
                <w:szCs w:val="21"/>
              </w:rPr>
              <w:t>定速计时，离心时间可自由选择分钟或秒</w:t>
            </w:r>
            <w:r>
              <w:rPr>
                <w:rFonts w:ascii="宋体" w:eastAsia="宋体" w:cs="宋体" w:hint="eastAsia"/>
                <w:sz w:val="21"/>
                <w:szCs w:val="21"/>
                <w:lang w:eastAsia="zh-CN"/>
              </w:rPr>
              <w:t>，</w:t>
            </w:r>
            <w:r>
              <w:rPr>
                <w:rFonts w:ascii="宋体" w:eastAsia="宋体" w:cs="宋体" w:hint="eastAsia"/>
                <w:sz w:val="21"/>
                <w:szCs w:val="21"/>
              </w:rPr>
              <w:t>定时范围1-999min/1-999s</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rPr>
              <w:t>▲</w:t>
            </w:r>
            <w:r>
              <w:rPr>
                <w:rFonts w:ascii="宋体" w:eastAsia="宋体" w:cs="宋体" w:hint="eastAsia"/>
                <w:sz w:val="21"/>
                <w:szCs w:val="21"/>
                <w:lang w:val="en-US" w:eastAsia="zh-CN"/>
              </w:rPr>
              <w:t xml:space="preserve">3.7 </w:t>
            </w:r>
            <w:r>
              <w:rPr>
                <w:rFonts w:ascii="宋体" w:eastAsia="宋体" w:cs="宋体" w:hint="eastAsia"/>
                <w:sz w:val="21"/>
                <w:szCs w:val="21"/>
              </w:rPr>
              <w:t>全自动转子识别系统</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lang w:val="en-US" w:eastAsia="zh-CN"/>
              </w:rPr>
            </w:pPr>
            <w:r>
              <w:rPr>
                <w:rFonts w:ascii="宋体" w:eastAsia="宋体" w:cs="宋体" w:hint="eastAsia"/>
                <w:sz w:val="21"/>
                <w:szCs w:val="21"/>
                <w:lang w:val="en-US" w:eastAsia="zh-CN"/>
              </w:rPr>
              <w:t xml:space="preserve">3.8 </w:t>
            </w:r>
            <w:r>
              <w:rPr>
                <w:rFonts w:ascii="宋体" w:eastAsia="宋体" w:cs="宋体" w:hint="eastAsia"/>
                <w:sz w:val="21"/>
                <w:szCs w:val="21"/>
              </w:rPr>
              <w:t>液晶、数码多屏显示，程序组、升降速、转速/离心力,时间和温度等参数独立显示单键设置</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rPr>
              <w:t>▲</w:t>
            </w:r>
            <w:r>
              <w:rPr>
                <w:rFonts w:ascii="宋体" w:eastAsia="宋体" w:cs="宋体" w:hint="eastAsia"/>
                <w:sz w:val="21"/>
                <w:szCs w:val="21"/>
                <w:lang w:val="en-US" w:eastAsia="zh-CN"/>
              </w:rPr>
              <w:t>3.9</w:t>
            </w:r>
            <w:r>
              <w:rPr>
                <w:rFonts w:ascii="宋体" w:eastAsia="宋体" w:cs="宋体" w:hint="eastAsia"/>
                <w:sz w:val="21"/>
                <w:szCs w:val="21"/>
                <w:lang w:eastAsia="zh-CN"/>
              </w:rPr>
              <w:t>多</w:t>
            </w:r>
            <w:r>
              <w:rPr>
                <w:rFonts w:ascii="宋体" w:eastAsia="宋体" w:cs="宋体" w:hint="eastAsia"/>
                <w:sz w:val="21"/>
                <w:szCs w:val="21"/>
              </w:rPr>
              <w:t>种升、降速率选择，</w:t>
            </w:r>
            <w:r>
              <w:rPr>
                <w:rFonts w:ascii="宋体" w:eastAsia="宋体" w:cs="宋体" w:hint="eastAsia"/>
                <w:sz w:val="21"/>
                <w:szCs w:val="21"/>
                <w:lang w:eastAsia="zh-CN"/>
              </w:rPr>
              <w:t>可</w:t>
            </w:r>
            <w:r>
              <w:rPr>
                <w:rFonts w:ascii="宋体" w:eastAsia="宋体" w:cs="宋体" w:hint="eastAsia"/>
                <w:sz w:val="21"/>
                <w:szCs w:val="21"/>
              </w:rPr>
              <w:t>控制转速</w:t>
            </w:r>
            <w:r>
              <w:rPr>
                <w:rFonts w:ascii="宋体" w:eastAsia="宋体" w:cs="宋体" w:hint="eastAsia"/>
                <w:sz w:val="21"/>
                <w:szCs w:val="21"/>
                <w:lang w:eastAsia="zh-CN"/>
              </w:rPr>
              <w:t>，</w:t>
            </w:r>
            <w:r>
              <w:rPr>
                <w:rFonts w:ascii="宋体" w:eastAsia="宋体" w:cs="宋体" w:hint="eastAsia"/>
                <w:sz w:val="21"/>
                <w:szCs w:val="21"/>
              </w:rPr>
              <w:t>转速精度±20r/min</w:t>
            </w:r>
            <w:r>
              <w:rPr>
                <w:rFonts w:ascii="宋体" w:eastAsia="宋体" w:cs="宋体" w:hint="eastAsia"/>
                <w:sz w:val="21"/>
                <w:szCs w:val="21"/>
                <w:lang w:eastAsia="zh-CN"/>
              </w:rPr>
              <w:t>，</w:t>
            </w:r>
            <w:r>
              <w:rPr>
                <w:rFonts w:ascii="宋体" w:eastAsia="宋体" w:cs="宋体" w:hint="eastAsia"/>
                <w:sz w:val="21"/>
                <w:szCs w:val="21"/>
              </w:rPr>
              <w:t>自定义离心参数</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lang w:val="en-US" w:eastAsia="zh-CN"/>
              </w:rPr>
              <w:t xml:space="preserve">3.10 </w:t>
            </w:r>
            <w:r>
              <w:rPr>
                <w:rFonts w:ascii="宋体" w:eastAsia="宋体" w:cs="宋体" w:hint="eastAsia"/>
                <w:sz w:val="21"/>
                <w:szCs w:val="21"/>
              </w:rPr>
              <w:t>点动功能、短暂离心</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lang w:val="en-US" w:eastAsia="zh-CN"/>
              </w:rPr>
              <w:t xml:space="preserve">3.11 </w:t>
            </w:r>
            <w:r>
              <w:rPr>
                <w:rFonts w:ascii="宋体" w:eastAsia="宋体" w:cs="宋体" w:hint="eastAsia"/>
                <w:sz w:val="21"/>
                <w:szCs w:val="21"/>
              </w:rPr>
              <w:t>软刹车技术，减少重悬</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lang w:val="en-US" w:eastAsia="zh-CN"/>
              </w:rPr>
              <w:t xml:space="preserve">3.12 </w:t>
            </w:r>
            <w:r>
              <w:rPr>
                <w:rFonts w:ascii="宋体" w:eastAsia="宋体" w:cs="宋体" w:hint="eastAsia"/>
                <w:sz w:val="21"/>
                <w:szCs w:val="21"/>
              </w:rPr>
              <w:t>动态压缩机组，制冷制热双回路。</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lang w:eastAsia="zh-CN"/>
              </w:rPr>
            </w:pPr>
            <w:r>
              <w:rPr>
                <w:rFonts w:ascii="宋体" w:eastAsia="宋体" w:cs="宋体" w:hint="eastAsia"/>
                <w:sz w:val="21"/>
                <w:szCs w:val="21"/>
                <w:lang w:val="en-US" w:eastAsia="zh-CN"/>
              </w:rPr>
              <w:t xml:space="preserve">3.13 </w:t>
            </w:r>
            <w:r>
              <w:rPr>
                <w:rFonts w:ascii="宋体" w:eastAsia="宋体" w:cs="宋体" w:hint="eastAsia"/>
                <w:sz w:val="21"/>
                <w:szCs w:val="21"/>
              </w:rPr>
              <w:t>超温、超速、门盖、不平衡等保护，声光报警提示</w:t>
            </w:r>
            <w:r>
              <w:rPr>
                <w:rFonts w:ascii="宋体" w:eastAsia="宋体" w:cs="宋体" w:hint="eastAsia"/>
                <w:sz w:val="21"/>
                <w:szCs w:val="21"/>
                <w:lang w:eastAsia="zh-CN"/>
              </w:rPr>
              <w:t>。</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lang w:val="en-US" w:eastAsia="zh-CN"/>
              </w:rPr>
              <w:t xml:space="preserve">3.14 </w:t>
            </w:r>
            <w:r>
              <w:rPr>
                <w:rFonts w:ascii="宋体" w:eastAsia="宋体" w:cs="宋体" w:hint="eastAsia"/>
                <w:sz w:val="21"/>
                <w:szCs w:val="21"/>
              </w:rPr>
              <w:t>钢制机身、不锈钢离心腔，钢制护套</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lang w:val="en-US" w:eastAsia="zh-CN"/>
              </w:rPr>
              <w:t xml:space="preserve">3.15 </w:t>
            </w:r>
            <w:r>
              <w:rPr>
                <w:rFonts w:ascii="宋体" w:eastAsia="宋体" w:cs="宋体" w:hint="eastAsia"/>
                <w:sz w:val="21"/>
                <w:szCs w:val="21"/>
              </w:rPr>
              <w:t>微电脑控制，运行参数自动记忆，可RCF直接启动，</w:t>
            </w:r>
            <w:r>
              <w:rPr>
                <w:rFonts w:ascii="宋体" w:eastAsia="宋体" w:cs="宋体" w:hint="eastAsia"/>
                <w:sz w:val="21"/>
                <w:szCs w:val="21"/>
                <w:lang w:eastAsia="zh-CN"/>
              </w:rPr>
              <w:t>多</w:t>
            </w:r>
            <w:r>
              <w:rPr>
                <w:rFonts w:ascii="宋体" w:eastAsia="宋体" w:cs="宋体" w:hint="eastAsia"/>
                <w:sz w:val="21"/>
                <w:szCs w:val="21"/>
              </w:rPr>
              <w:t>种自定义工作模式可直接调用</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lang w:val="en-US" w:eastAsia="zh-CN"/>
              </w:rPr>
              <w:t xml:space="preserve">3.16 </w:t>
            </w:r>
            <w:r>
              <w:rPr>
                <w:rFonts w:ascii="宋体" w:eastAsia="宋体" w:cs="宋体" w:hint="eastAsia"/>
                <w:sz w:val="21"/>
                <w:szCs w:val="21"/>
              </w:rPr>
              <w:t>三级阻尼减震</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lang w:val="en-US" w:eastAsia="zh-CN"/>
              </w:rPr>
              <w:t xml:space="preserve">3.17 </w:t>
            </w:r>
            <w:r>
              <w:rPr>
                <w:rFonts w:ascii="宋体" w:eastAsia="宋体" w:cs="宋体" w:hint="eastAsia"/>
                <w:sz w:val="21"/>
                <w:szCs w:val="21"/>
              </w:rPr>
              <w:t>大力矩无刷变频电机，无氟压缩机</w:t>
            </w:r>
          </w:p>
          <w:p>
            <w:pPr>
              <w:pStyle w:val="89"/>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lang w:val="en-US" w:eastAsia="zh-CN"/>
              </w:rPr>
              <w:t xml:space="preserve">3.18 </w:t>
            </w:r>
            <w:r>
              <w:rPr>
                <w:rFonts w:ascii="宋体" w:eastAsia="宋体" w:cs="宋体" w:hint="eastAsia"/>
                <w:sz w:val="21"/>
                <w:szCs w:val="21"/>
              </w:rPr>
              <w:t>超硬铝合金转子厚膜硬质氧化，耐腐蚀</w:t>
            </w:r>
          </w:p>
          <w:p>
            <w:pPr>
              <w:pStyle w:val="81"/>
              <w:pageBreakBefore w:val="0"/>
              <w:widowControl w:val="0"/>
              <w:kinsoku/>
              <w:wordWrap/>
              <w:overflowPunct/>
              <w:topLinePunct w:val="0"/>
              <w:autoSpaceDE/>
              <w:autoSpaceDN/>
              <w:adjustRightInd w:val="0"/>
              <w:snapToGrid w:val="0"/>
              <w:ind w:firstLineChars="200" w:firstLine="420"/>
              <w:rPr>
                <w:rFonts w:ascii="宋体" w:eastAsia="宋体" w:cs="宋体" w:hint="eastAsia"/>
                <w:szCs w:val="21"/>
              </w:rPr>
            </w:pPr>
          </w:p>
        </w:tc>
        <w:tc>
          <w:tcPr>
            <w:tcW w:w="2339" w:type="dxa"/>
            <w:tcBorders>
              <w:tl2br w:val="nil"/>
              <w:tr2bl w:val="nil"/>
            </w:tcBorders>
            <w:shd w:val="clear" w:color="auto" w:fill="auto"/>
            <w:vAlign w:val="center"/>
          </w:tcPr>
          <w:p>
            <w:pPr>
              <w:pStyle w:val="63"/>
              <w:adjustRightInd w:val="0"/>
              <w:snapToGrid w:val="0"/>
              <w:rPr>
                <w:rFonts w:ascii="宋体" w:eastAsia="宋体" w:cs="宋体" w:hint="eastAsia"/>
                <w:szCs w:val="21"/>
              </w:rPr>
            </w:pPr>
            <w:r>
              <w:rPr>
                <w:rFonts w:ascii="宋体" w:eastAsia="宋体" w:cs="宋体" w:hint="eastAsia"/>
                <w:szCs w:val="21"/>
              </w:rPr>
              <w:t>1.主机</w:t>
              <w:tab/>
              <w:t>1台</w:t>
            </w:r>
          </w:p>
          <w:p>
            <w:pPr>
              <w:pStyle w:val="63"/>
              <w:adjustRightInd w:val="0"/>
              <w:snapToGrid w:val="0"/>
              <w:rPr>
                <w:rFonts w:ascii="宋体" w:eastAsia="宋体" w:cs="宋体" w:hint="eastAsia"/>
                <w:szCs w:val="21"/>
              </w:rPr>
            </w:pPr>
            <w:r>
              <w:rPr>
                <w:rFonts w:ascii="宋体" w:eastAsia="宋体" w:cs="宋体" w:hint="eastAsia"/>
                <w:szCs w:val="21"/>
              </w:rPr>
              <w:t>2.角转子（15mL，数量≥8）1套</w:t>
            </w:r>
          </w:p>
          <w:p>
            <w:pPr>
              <w:pStyle w:val="63"/>
              <w:adjustRightInd w:val="0"/>
              <w:snapToGrid w:val="0"/>
              <w:rPr>
                <w:rFonts w:ascii="宋体" w:eastAsia="宋体" w:cs="宋体" w:hint="eastAsia"/>
                <w:szCs w:val="21"/>
              </w:rPr>
            </w:pPr>
            <w:r>
              <w:rPr>
                <w:rFonts w:ascii="宋体" w:eastAsia="宋体" w:cs="宋体" w:hint="eastAsia"/>
                <w:szCs w:val="21"/>
              </w:rPr>
              <w:t>3.角转子（50mL，数量≥6）1套</w:t>
            </w:r>
          </w:p>
          <w:p>
            <w:pPr>
              <w:pStyle w:val="63"/>
              <w:adjustRightInd w:val="0"/>
              <w:snapToGrid w:val="0"/>
              <w:rPr>
                <w:rFonts w:ascii="宋体" w:eastAsia="宋体" w:cs="宋体" w:hint="eastAsia"/>
                <w:szCs w:val="21"/>
              </w:rPr>
            </w:pPr>
            <w:r>
              <w:rPr>
                <w:rFonts w:ascii="宋体" w:eastAsia="宋体" w:cs="宋体" w:hint="eastAsia"/>
                <w:szCs w:val="21"/>
              </w:rPr>
              <w:t>4.角转子（100mL，数量≥4）1套</w:t>
            </w:r>
          </w:p>
          <w:p>
            <w:pPr>
              <w:pStyle w:val="63"/>
              <w:adjustRightInd w:val="0"/>
              <w:snapToGrid w:val="0"/>
              <w:rPr>
                <w:rFonts w:ascii="宋体" w:eastAsia="宋体" w:cs="宋体" w:hint="eastAsia"/>
                <w:szCs w:val="21"/>
              </w:rPr>
            </w:pPr>
            <w:r>
              <w:rPr>
                <w:rFonts w:ascii="宋体" w:eastAsia="宋体" w:cs="宋体" w:hint="eastAsia"/>
                <w:szCs w:val="21"/>
              </w:rPr>
              <w:t>5.水平转子（含适配器)（250mL，数量≥4）1套</w:t>
            </w:r>
          </w:p>
        </w:tc>
      </w:tr>
      <w:tr>
        <w:trPr>
          <w:trHeight w:val="283"/>
        </w:trPr>
        <w:tc>
          <w:tcPr>
            <w:tcW w:w="720" w:type="dxa"/>
            <w:tcBorders>
              <w:tl2br w:val="nil"/>
              <w:tr2bl w:val="nil"/>
            </w:tcBorders>
            <w:shd w:val="clear" w:color="auto" w:fill="auto"/>
            <w:vAlign w:val="center"/>
          </w:tcPr>
          <w:p>
            <w:pPr>
              <w:pStyle w:val="67"/>
              <w:widowControl/>
              <w:jc w:val="center"/>
              <w:textAlignment w:val="center"/>
              <w:rPr>
                <w:rFonts w:ascii="宋体" w:eastAsia="宋体" w:cs="宋体" w:hint="eastAsia"/>
                <w:color w:val="000000"/>
                <w:kern w:val="0"/>
                <w:szCs w:val="21"/>
                <w:lang w:val="en-US" w:eastAsia="zh-CN" w:bidi="ar-SA"/>
              </w:rPr>
            </w:pPr>
            <w:r>
              <w:rPr>
                <w:rFonts w:ascii="宋体" w:cs="宋体" w:hint="eastAsia"/>
                <w:color w:val="000000"/>
                <w:kern w:val="0"/>
                <w:szCs w:val="21"/>
                <w:lang w:val="en-US" w:eastAsia="zh-CN" w:bidi="ar-SA"/>
              </w:rPr>
              <w:t>2</w:t>
            </w:r>
          </w:p>
        </w:tc>
        <w:tc>
          <w:tcPr>
            <w:tcW w:w="1245" w:type="dxa"/>
            <w:tcBorders>
              <w:tl2br w:val="nil"/>
              <w:tr2bl w:val="nil"/>
            </w:tcBorders>
            <w:shd w:val="clear" w:color="auto" w:fill="auto"/>
            <w:vAlign w:val="center"/>
          </w:tcPr>
          <w:p>
            <w:pPr>
              <w:pStyle w:val="66"/>
              <w:widowControl/>
              <w:jc w:val="center"/>
              <w:textAlignment w:val="center"/>
              <w:rPr>
                <w:rFonts w:ascii="宋体" w:eastAsia="宋体" w:cs="宋体" w:hint="eastAsia"/>
                <w:color w:val="000000"/>
                <w:szCs w:val="21"/>
                <w:lang w:val="en-US" w:eastAsia="zh-CN" w:bidi="ar-SA"/>
              </w:rPr>
            </w:pPr>
            <w:r>
              <w:rPr>
                <w:rFonts w:ascii="宋体" w:cs="宋体" w:hint="eastAsia"/>
                <w:color w:val="000000"/>
                <w:szCs w:val="21"/>
                <w:lang w:val="en-US" w:eastAsia="zh-CN" w:bidi="ar-SA"/>
              </w:rPr>
              <w:t>纯水机</w:t>
            </w:r>
          </w:p>
        </w:tc>
        <w:tc>
          <w:tcPr>
            <w:tcW w:w="720" w:type="dxa"/>
            <w:tcBorders>
              <w:tl2br w:val="nil"/>
              <w:tr2bl w:val="nil"/>
            </w:tcBorders>
            <w:shd w:val="clear" w:color="auto" w:fill="auto"/>
            <w:vAlign w:val="center"/>
          </w:tcPr>
          <w:p>
            <w:pPr>
              <w:pStyle w:val="65"/>
              <w:widowControl/>
              <w:jc w:val="center"/>
              <w:textAlignment w:val="center"/>
              <w:rPr>
                <w:rFonts w:ascii="宋体" w:eastAsia="宋体" w:cs="宋体" w:hint="eastAsia"/>
                <w:color w:val="000000"/>
                <w:kern w:val="0"/>
                <w:szCs w:val="21"/>
                <w:lang w:val="en-US" w:eastAsia="zh-CN" w:bidi="ar-SA"/>
              </w:rPr>
            </w:pPr>
            <w:r>
              <w:rPr>
                <w:rFonts w:ascii="宋体" w:cs="宋体" w:hint="eastAsia"/>
                <w:color w:val="000000"/>
                <w:kern w:val="0"/>
                <w:szCs w:val="21"/>
                <w:lang w:val="en-US" w:eastAsia="zh-CN" w:bidi="ar-SA"/>
              </w:rPr>
              <w:t>1</w:t>
            </w:r>
          </w:p>
        </w:tc>
        <w:tc>
          <w:tcPr>
            <w:tcW w:w="720" w:type="dxa"/>
            <w:tcBorders>
              <w:tl2br w:val="nil"/>
              <w:tr2bl w:val="nil"/>
            </w:tcBorders>
            <w:shd w:val="clear" w:color="auto" w:fill="auto"/>
            <w:vAlign w:val="center"/>
          </w:tcPr>
          <w:p>
            <w:pPr>
              <w:pStyle w:val="64"/>
              <w:widowControl/>
              <w:jc w:val="center"/>
              <w:textAlignment w:val="center"/>
              <w:rPr>
                <w:rFonts w:ascii="宋体" w:eastAsia="宋体" w:cs="宋体" w:hint="eastAsia"/>
                <w:color w:val="000000"/>
                <w:szCs w:val="21"/>
                <w:lang w:eastAsia="zh-CN" w:bidi="ar-SA"/>
              </w:rPr>
            </w:pPr>
            <w:r>
              <w:rPr>
                <w:rFonts w:ascii="宋体" w:cs="宋体" w:hint="eastAsia"/>
                <w:color w:val="000000"/>
                <w:szCs w:val="21"/>
                <w:lang w:eastAsia="zh-CN" w:bidi="ar-SA"/>
              </w:rPr>
              <w:t>台</w:t>
            </w:r>
          </w:p>
        </w:tc>
        <w:tc>
          <w:tcPr>
            <w:tcW w:w="3435" w:type="dxa"/>
            <w:tcBorders>
              <w:tl2br w:val="nil"/>
              <w:tr2bl w:val="nil"/>
            </w:tcBorders>
            <w:shd w:val="clear" w:color="auto" w:fill="auto"/>
            <w:vAlign w:val="center"/>
          </w:tcPr>
          <w:p>
            <w:pPr>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lang w:val="en-US" w:eastAsia="zh-CN"/>
              </w:rPr>
            </w:pPr>
            <w:r>
              <w:rPr>
                <w:rFonts w:ascii="宋体" w:eastAsia="宋体" w:cs="宋体" w:hint="eastAsia"/>
                <w:sz w:val="21"/>
                <w:szCs w:val="21"/>
              </w:rPr>
              <w:t>1.主要用途：</w:t>
            </w:r>
            <w:r>
              <w:rPr>
                <w:rFonts w:ascii="宋体" w:eastAsia="宋体" w:cs="宋体" w:hint="eastAsia"/>
                <w:sz w:val="21"/>
                <w:szCs w:val="21"/>
                <w:lang w:eastAsia="zh-CN"/>
              </w:rPr>
              <w:t>清洗、实验室用溶液的配置、微生物实验，以及常规理化、色谱实验。</w:t>
            </w:r>
          </w:p>
          <w:p>
            <w:pPr>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lang w:eastAsia="zh-CN"/>
              </w:rPr>
            </w:pPr>
            <w:r>
              <w:rPr>
                <w:rFonts w:ascii="宋体" w:eastAsia="宋体" w:cs="宋体" w:hint="eastAsia"/>
                <w:sz w:val="21"/>
                <w:szCs w:val="21"/>
              </w:rPr>
              <w:t>2.特殊资质要求</w:t>
            </w:r>
            <w:r>
              <w:rPr>
                <w:rFonts w:ascii="宋体" w:eastAsia="宋体" w:cs="宋体" w:hint="eastAsia"/>
                <w:sz w:val="21"/>
                <w:szCs w:val="21"/>
                <w:lang w:eastAsia="zh-CN"/>
              </w:rPr>
              <w:t>：无</w:t>
            </w:r>
          </w:p>
          <w:p>
            <w:pPr>
              <w:keepNext w:val="0"/>
              <w:keepLines w:val="0"/>
              <w:pageBreakBefore w:val="0"/>
              <w:widowControl w:val="0"/>
              <w:kinsoku/>
              <w:overflowPunct/>
              <w:topLinePunct w:val="0"/>
              <w:autoSpaceDE/>
              <w:autoSpaceDN/>
              <w:bidi w:val="0"/>
              <w:spacing w:line="560" w:lineRule="exact"/>
              <w:ind w:firstLineChars="200" w:firstLine="420"/>
              <w:jc w:val="left"/>
              <w:rPr>
                <w:rFonts w:ascii="宋体" w:eastAsia="宋体" w:cs="宋体" w:hint="eastAsia"/>
                <w:sz w:val="21"/>
                <w:szCs w:val="21"/>
              </w:rPr>
            </w:pPr>
            <w:r>
              <w:rPr>
                <w:rFonts w:ascii="宋体" w:eastAsia="宋体" w:cs="宋体" w:hint="eastAsia"/>
                <w:sz w:val="21"/>
                <w:szCs w:val="21"/>
              </w:rPr>
              <w:t>3.主要技术参数：</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val="en-US" w:eastAsia="zh-CN"/>
              </w:rPr>
              <w:t>3.1</w:t>
            </w:r>
            <w:r>
              <w:rPr>
                <w:rFonts w:ascii="宋体" w:eastAsia="宋体" w:cs="宋体" w:hint="eastAsia"/>
                <w:kern w:val="0"/>
                <w:sz w:val="21"/>
                <w:szCs w:val="21"/>
                <w:lang w:eastAsia="zh-CN"/>
              </w:rPr>
              <w:t>进水条件：</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以自来水作为进水水源，进水条件宽泛，进水电导率最高可允许到</w:t>
            </w:r>
            <w:r>
              <w:rPr>
                <w:rFonts w:ascii="宋体" w:eastAsia="宋体" w:cs="宋体" w:hint="eastAsia"/>
                <w:kern w:val="0"/>
                <w:sz w:val="21"/>
                <w:szCs w:val="21"/>
                <w:lang w:val="en-US" w:eastAsia="zh-CN"/>
              </w:rPr>
              <w:t>2</w:t>
            </w:r>
            <w:r>
              <w:rPr>
                <w:rFonts w:ascii="宋体" w:eastAsia="宋体" w:cs="宋体" w:hint="eastAsia"/>
                <w:kern w:val="0"/>
                <w:sz w:val="21"/>
                <w:szCs w:val="21"/>
                <w:lang w:eastAsia="zh-CN"/>
              </w:rPr>
              <w:t>000μs/cm。</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2</w:t>
            </w:r>
            <w:r>
              <w:rPr>
                <w:rFonts w:ascii="宋体" w:eastAsia="宋体" w:cs="宋体" w:hint="eastAsia"/>
                <w:kern w:val="0"/>
                <w:sz w:val="21"/>
                <w:szCs w:val="21"/>
                <w:lang w:eastAsia="zh-CN"/>
              </w:rPr>
              <w:t>产水水质：</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2</w:t>
            </w:r>
            <w:r>
              <w:rPr>
                <w:rFonts w:ascii="宋体" w:eastAsia="宋体" w:cs="宋体" w:hint="eastAsia"/>
                <w:kern w:val="0"/>
                <w:sz w:val="21"/>
                <w:szCs w:val="21"/>
                <w:lang w:eastAsia="zh-CN"/>
              </w:rPr>
              <w:t>.1二级纯水产水水质：</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电阻率   ＞5 MΩ•cm＠25℃ （典型值10-15 MΩ•cm＠25℃）</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总有机碳含量(TOC)               ＜30ppb；</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 xml:space="preserve">颗粒（＞0.22μm）              ＜1 unit/mL   </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微生物                         ＜0.01CFU/mL</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产水速度：≥15L/H</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2</w:t>
            </w:r>
            <w:r>
              <w:rPr>
                <w:rFonts w:ascii="宋体" w:eastAsia="宋体" w:cs="宋体" w:hint="eastAsia"/>
                <w:kern w:val="0"/>
                <w:sz w:val="21"/>
                <w:szCs w:val="21"/>
                <w:lang w:eastAsia="zh-CN"/>
              </w:rPr>
              <w:t>.2一级超纯水：达到或超过各种标准中规定的I 级水质，如ASTM D1193、ISO 3696、CLSI、JIS K0577、GB/T6682等，及美国药典（USP）、欧洲药典（EP）、日本药典（JP）和中国202</w:t>
            </w:r>
            <w:r>
              <w:rPr>
                <w:rFonts w:ascii="宋体" w:eastAsia="宋体" w:cs="宋体" w:hint="eastAsia"/>
                <w:kern w:val="0"/>
                <w:sz w:val="21"/>
                <w:szCs w:val="21"/>
                <w:lang w:val="en-US" w:eastAsia="zh-CN"/>
              </w:rPr>
              <w:t>5</w:t>
            </w:r>
            <w:r>
              <w:rPr>
                <w:rFonts w:ascii="宋体" w:eastAsia="宋体" w:cs="宋体" w:hint="eastAsia"/>
                <w:kern w:val="0"/>
                <w:sz w:val="21"/>
                <w:szCs w:val="21"/>
                <w:lang w:eastAsia="zh-CN"/>
              </w:rPr>
              <w:t>版药典（ChP）中规定的试剂级超纯水要求：</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产水电阻率                    ≥ 18.2 MΩ•cm @ 25℃</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TOC含量                       ＜2ppb</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 xml:space="preserve">颗粒（＞0.22μm）              ＜1 unit/mL   </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微生物                         ＜0.01CFU/mL</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致热原（内毒素）               ＜0.001EU/mL</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RNA酶：                       ＜1 pg/mL</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DNA酶：                       ＜5pg/mL</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rPr>
            </w:pPr>
            <w:r>
              <w:rPr>
                <w:rFonts w:ascii="宋体" w:eastAsia="宋体" w:cs="宋体" w:hint="eastAsia"/>
                <w:kern w:val="0"/>
                <w:sz w:val="21"/>
                <w:szCs w:val="21"/>
              </w:rPr>
              <w:t>蛋白酶：                       ＜0.15μg/mL</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产水速度：≥2L/min可调，可连续调节</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 xml:space="preserve">3 </w:t>
            </w:r>
            <w:r>
              <w:rPr>
                <w:rFonts w:ascii="宋体" w:eastAsia="宋体" w:cs="宋体" w:hint="eastAsia"/>
                <w:kern w:val="0"/>
                <w:sz w:val="21"/>
                <w:szCs w:val="21"/>
                <w:lang w:eastAsia="zh-CN"/>
              </w:rPr>
              <w:t>设备参数</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.1自来水预处理部分：</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采用自动冲洗的超滤系统，微电脑控制，可定时冲洗，使用寿命2年以上；</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.2纯化柱：</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highlight w:val="auto"/>
              </w:rPr>
              <w:t>采用</w:t>
            </w:r>
            <w:r>
              <w:rPr>
                <w:rFonts w:ascii="宋体" w:eastAsia="宋体" w:cs="宋体" w:hint="eastAsia"/>
                <w:kern w:val="0"/>
                <w:sz w:val="21"/>
                <w:szCs w:val="21"/>
                <w:lang w:eastAsia="zh-CN"/>
              </w:rPr>
              <w:t>≥三根</w:t>
            </w:r>
            <w:r>
              <w:rPr>
                <w:rFonts w:ascii="宋体" w:eastAsia="宋体" w:cs="宋体" w:hint="eastAsia"/>
                <w:kern w:val="0"/>
                <w:sz w:val="21"/>
                <w:szCs w:val="21"/>
                <w:lang w:eastAsia="zh-CN"/>
                <w:highlight w:val="auto"/>
              </w:rPr>
              <w:t>独立纯化柱设计，预保护柱填充硅磷晶，椰壳活性炭；精纯化柱填充高分子材料合成活性炭，可去除钙镁等离子</w:t>
            </w:r>
            <w:bookmarkStart w:id="1" w:name="_Hlk53567625"/>
            <w:r>
              <w:rPr>
                <w:rFonts w:ascii="宋体" w:eastAsia="宋体" w:cs="宋体" w:hint="eastAsia"/>
                <w:kern w:val="0"/>
                <w:sz w:val="21"/>
                <w:szCs w:val="21"/>
                <w:lang w:eastAsia="zh-CN"/>
                <w:highlight w:val="auto"/>
              </w:rPr>
              <w:t>、去除余氯和嗅味</w:t>
            </w:r>
            <w:bookmarkEnd w:id="1"/>
            <w:r>
              <w:rPr>
                <w:rFonts w:ascii="宋体" w:eastAsia="宋体" w:cs="宋体" w:hint="eastAsia"/>
                <w:kern w:val="0"/>
                <w:sz w:val="21"/>
                <w:szCs w:val="21"/>
                <w:lang w:eastAsia="zh-CN"/>
                <w:highlight w:val="auto"/>
              </w:rPr>
              <w:t>、去除水中痕量有机物、去除痕量离子。</w:t>
            </w:r>
            <w:r>
              <w:rPr>
                <w:rFonts w:ascii="宋体" w:eastAsia="宋体" w:cs="宋体" w:hint="eastAsia"/>
                <w:kern w:val="0"/>
                <w:sz w:val="21"/>
                <w:szCs w:val="21"/>
                <w:lang w:eastAsia="zh-CN"/>
              </w:rPr>
              <w:t xml:space="preserve">  </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.3反渗透：</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双级反渗透设计；第二级反渗透全部废水回流。</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.4 EDI模块：</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内置EDI模块，无需化学再生或加软化柱，可长时间使用。</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.5 TOC检测模块：</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内置TOC检测仪，带独立的氧化池，并联到系统内封闭氧化，检测范围1-999ppb，分辨率可到0.01ppb。</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.2.</w:t>
            </w:r>
            <w:r>
              <w:rPr>
                <w:rFonts w:ascii="宋体" w:eastAsia="宋体" w:cs="宋体" w:hint="eastAsia"/>
                <w:kern w:val="0"/>
                <w:sz w:val="21"/>
                <w:szCs w:val="21"/>
                <w:lang w:val="en-US" w:eastAsia="zh-CN"/>
              </w:rPr>
              <w:t>6</w:t>
            </w:r>
            <w:r>
              <w:rPr>
                <w:rFonts w:ascii="宋体" w:eastAsia="宋体" w:cs="宋体" w:hint="eastAsia"/>
                <w:kern w:val="0"/>
                <w:sz w:val="21"/>
                <w:szCs w:val="21"/>
                <w:lang w:eastAsia="zh-CN"/>
              </w:rPr>
              <w:t>水箱：</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w:t>
            </w:r>
            <w:r>
              <w:rPr>
                <w:rFonts w:ascii="宋体" w:eastAsia="宋体" w:cs="宋体" w:hint="eastAsia"/>
                <w:kern w:val="0"/>
                <w:sz w:val="21"/>
                <w:szCs w:val="21"/>
                <w:lang w:val="en-US" w:eastAsia="zh-CN"/>
              </w:rPr>
              <w:t>6</w:t>
            </w:r>
            <w:r>
              <w:rPr>
                <w:rFonts w:ascii="宋体" w:eastAsia="宋体" w:cs="宋体" w:hint="eastAsia"/>
                <w:kern w:val="0"/>
                <w:sz w:val="21"/>
                <w:szCs w:val="21"/>
                <w:lang w:eastAsia="zh-CN"/>
              </w:rPr>
              <w:t>0L水箱；配置空气滤器和紫外灯，嵌入式设计；配置压力式液位传感器。</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.2.</w:t>
            </w:r>
            <w:r>
              <w:rPr>
                <w:rFonts w:ascii="宋体" w:eastAsia="宋体" w:cs="宋体" w:hint="eastAsia"/>
                <w:kern w:val="0"/>
                <w:sz w:val="21"/>
                <w:szCs w:val="21"/>
                <w:lang w:val="en-US" w:eastAsia="zh-CN"/>
              </w:rPr>
              <w:t>7</w:t>
            </w:r>
            <w:r>
              <w:rPr>
                <w:rFonts w:ascii="宋体" w:eastAsia="宋体" w:cs="宋体" w:hint="eastAsia"/>
                <w:kern w:val="0"/>
                <w:sz w:val="21"/>
                <w:szCs w:val="21"/>
                <w:lang w:eastAsia="zh-CN"/>
              </w:rPr>
              <w:t>取水手臂：</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bookmarkStart w:id="2" w:name="_Hlk53734088"/>
            <w:r>
              <w:rPr>
                <w:rFonts w:ascii="宋体" w:eastAsia="宋体" w:cs="宋体" w:hint="eastAsia"/>
                <w:kern w:val="0"/>
                <w:sz w:val="21"/>
                <w:szCs w:val="21"/>
                <w:lang w:eastAsia="zh-CN"/>
              </w:rPr>
              <w:t>独立取水手臂，集成触摸屏；定量取水，取水量0.01-60L可调。</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bookmarkEnd w:id="2"/>
            <w:r>
              <w:rPr>
                <w:rFonts w:ascii="宋体" w:eastAsia="宋体" w:cs="宋体" w:hint="eastAsia"/>
                <w:kern w:val="0"/>
                <w:sz w:val="21"/>
                <w:szCs w:val="21"/>
              </w:rPr>
              <w:t>▲</w:t>
            </w: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.2.8人机交互：</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仪器运行状态、水质信息、耗材状态和报警信息可直接显示。水质信息实时监测，进水和产水信息在线显示。系统自动储存数据，包括完整水质、仪器维护等信息。</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highlight w:val="auto"/>
              </w:rPr>
            </w:pPr>
            <w:r>
              <w:rPr>
                <w:rFonts w:ascii="宋体" w:eastAsia="宋体" w:cs="宋体" w:hint="eastAsia"/>
                <w:kern w:val="0"/>
                <w:sz w:val="21"/>
                <w:szCs w:val="21"/>
                <w:lang w:val="en-US" w:eastAsia="zh-CN"/>
                <w:highlight w:val="auto"/>
              </w:rPr>
              <w:t>3</w:t>
            </w:r>
            <w:r>
              <w:rPr>
                <w:rFonts w:ascii="宋体" w:eastAsia="宋体" w:cs="宋体" w:hint="eastAsia"/>
                <w:kern w:val="0"/>
                <w:sz w:val="21"/>
                <w:szCs w:val="21"/>
                <w:lang w:eastAsia="zh-CN"/>
                <w:highlight w:val="auto"/>
              </w:rPr>
              <w:t>.2.9云端管理：</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eastAsia="zh-CN"/>
              </w:rPr>
              <w:t>物联网平台实时在线监控仪器数据。支持一个账户同时监测多台设备。水质数据实时监控，定时上传，数据报表一键导出。耗材状态、报警信息实时上传监控，并通过短信或公众号方式推送。远程诊断功能，如果使用过程中水机出现故障，可以远程云端进行诊断，及时发现故障点；支持分级登录权限管理，用户可自定义操作者账户人数。</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rPr>
            </w:pPr>
            <w:r>
              <w:rPr>
                <w:rFonts w:ascii="宋体" w:eastAsia="宋体" w:cs="宋体" w:hint="eastAsia"/>
                <w:kern w:val="0"/>
                <w:sz w:val="21"/>
                <w:szCs w:val="21"/>
                <w:lang w:val="en-US" w:eastAsia="zh-CN"/>
              </w:rPr>
              <w:t>3</w:t>
            </w:r>
            <w:r>
              <w:rPr>
                <w:rFonts w:ascii="宋体" w:eastAsia="宋体" w:cs="宋体" w:hint="eastAsia"/>
                <w:kern w:val="0"/>
                <w:sz w:val="21"/>
                <w:szCs w:val="21"/>
                <w:lang w:eastAsia="zh-CN"/>
              </w:rPr>
              <w:t>.2.10环境友好：</w:t>
            </w:r>
          </w:p>
          <w:p>
            <w:pPr>
              <w:overflowPunct w:val="0"/>
              <w:autoSpaceDE w:val="0"/>
              <w:autoSpaceDN w:val="0"/>
              <w:adjustRightInd w:val="0"/>
              <w:spacing w:line="460" w:lineRule="exact"/>
              <w:ind w:firstLineChars="200" w:firstLine="420"/>
              <w:jc w:val="left"/>
              <w:textAlignment w:val="baseline"/>
              <w:rPr>
                <w:rFonts w:ascii="宋体" w:eastAsia="宋体" w:cs="宋体" w:hint="eastAsia"/>
                <w:kern w:val="0"/>
                <w:sz w:val="21"/>
                <w:szCs w:val="21"/>
                <w:lang w:eastAsia="zh-CN"/>
                <w:highlight w:val="auto"/>
              </w:rPr>
            </w:pPr>
            <w:r>
              <w:rPr>
                <w:rFonts w:ascii="宋体" w:eastAsia="宋体" w:cs="宋体" w:hint="eastAsia"/>
                <w:kern w:val="0"/>
                <w:sz w:val="21"/>
                <w:szCs w:val="21"/>
                <w:lang w:eastAsia="zh-CN"/>
              </w:rPr>
              <w:t>设备运行噪音低于50dB；配漏水检测器，出现漏水直接关闭管道进水。</w:t>
            </w:r>
            <w:r>
              <w:rPr>
                <w:rFonts w:ascii="宋体" w:eastAsia="宋体" w:cs="宋体" w:hint="eastAsia"/>
                <w:kern w:val="0"/>
                <w:sz w:val="21"/>
                <w:szCs w:val="21"/>
                <w:lang w:eastAsia="zh-CN"/>
                <w:highlight w:val="auto"/>
              </w:rPr>
              <w:t>无棉芯活性炭等自来水预处理的废物处理。</w:t>
            </w:r>
          </w:p>
          <w:p>
            <w:pPr>
              <w:pStyle w:val="81"/>
              <w:pageBreakBefore w:val="0"/>
              <w:widowControl w:val="0"/>
              <w:kinsoku/>
              <w:wordWrap/>
              <w:overflowPunct/>
              <w:topLinePunct w:val="0"/>
              <w:autoSpaceDE/>
              <w:autoSpaceDN/>
              <w:adjustRightInd w:val="0"/>
              <w:snapToGrid w:val="0"/>
              <w:ind w:firstLineChars="200" w:firstLine="420"/>
              <w:rPr>
                <w:rFonts w:ascii="宋体" w:eastAsia="宋体" w:cs="宋体" w:hint="eastAsia"/>
                <w:szCs w:val="21"/>
              </w:rPr>
            </w:pPr>
          </w:p>
        </w:tc>
        <w:tc>
          <w:tcPr>
            <w:tcW w:w="2339" w:type="dxa"/>
            <w:tcBorders>
              <w:tl2br w:val="nil"/>
              <w:tr2bl w:val="nil"/>
            </w:tcBorders>
            <w:shd w:val="clear" w:color="auto" w:fill="auto"/>
            <w:vAlign w:val="center"/>
          </w:tcPr>
          <w:p>
            <w:pPr>
              <w:pStyle w:val="63"/>
              <w:adjustRightInd w:val="0"/>
              <w:snapToGrid w:val="0"/>
              <w:rPr>
                <w:rFonts w:ascii="宋体" w:eastAsia="宋体" w:cs="宋体" w:hint="eastAsia"/>
                <w:szCs w:val="21"/>
              </w:rPr>
            </w:pPr>
            <w:r>
              <w:rPr>
                <w:rFonts w:ascii="宋体" w:eastAsia="宋体" w:cs="宋体" w:hint="eastAsia"/>
                <w:szCs w:val="21"/>
              </w:rPr>
              <w:t>1.主机</w:t>
              <w:tab/>
              <w:t>1套</w:t>
            </w:r>
          </w:p>
          <w:p>
            <w:pPr>
              <w:pStyle w:val="63"/>
              <w:adjustRightInd w:val="0"/>
              <w:snapToGrid w:val="0"/>
              <w:rPr>
                <w:rFonts w:ascii="宋体" w:eastAsia="宋体" w:cs="宋体" w:hint="eastAsia"/>
                <w:szCs w:val="21"/>
              </w:rPr>
            </w:pPr>
            <w:r>
              <w:rPr>
                <w:rFonts w:ascii="宋体" w:eastAsia="宋体" w:cs="宋体" w:hint="eastAsia"/>
                <w:szCs w:val="21"/>
              </w:rPr>
              <w:t>2.预处理系统</w:t>
              <w:tab/>
              <w:t>1套</w:t>
            </w:r>
          </w:p>
          <w:p>
            <w:pPr>
              <w:pStyle w:val="63"/>
              <w:adjustRightInd w:val="0"/>
              <w:snapToGrid w:val="0"/>
              <w:rPr>
                <w:rFonts w:ascii="宋体" w:eastAsia="宋体" w:cs="宋体" w:hint="eastAsia"/>
                <w:szCs w:val="21"/>
              </w:rPr>
            </w:pPr>
            <w:r>
              <w:rPr>
                <w:rFonts w:ascii="宋体" w:eastAsia="宋体" w:cs="宋体" w:hint="eastAsia"/>
                <w:szCs w:val="21"/>
              </w:rPr>
              <w:t>3.预保护柱</w:t>
              <w:tab/>
              <w:t>2根</w:t>
            </w:r>
          </w:p>
          <w:p>
            <w:pPr>
              <w:pStyle w:val="63"/>
              <w:adjustRightInd w:val="0"/>
              <w:snapToGrid w:val="0"/>
              <w:rPr>
                <w:rFonts w:ascii="宋体" w:eastAsia="宋体" w:cs="宋体" w:hint="eastAsia"/>
                <w:szCs w:val="21"/>
              </w:rPr>
            </w:pPr>
            <w:r>
              <w:rPr>
                <w:rFonts w:ascii="宋体" w:eastAsia="宋体" w:cs="宋体" w:hint="eastAsia"/>
                <w:szCs w:val="21"/>
              </w:rPr>
              <w:t>4.精纯化柱</w:t>
              <w:tab/>
              <w:t>1根</w:t>
            </w:r>
          </w:p>
          <w:p>
            <w:pPr>
              <w:pStyle w:val="63"/>
              <w:adjustRightInd w:val="0"/>
              <w:snapToGrid w:val="0"/>
              <w:rPr>
                <w:rFonts w:ascii="宋体" w:eastAsia="宋体" w:cs="宋体" w:hint="eastAsia"/>
                <w:szCs w:val="21"/>
              </w:rPr>
            </w:pPr>
            <w:r>
              <w:rPr>
                <w:rFonts w:ascii="宋体" w:eastAsia="宋体" w:cs="宋体" w:hint="eastAsia"/>
                <w:szCs w:val="21"/>
              </w:rPr>
              <w:t>5.双级RO反渗透</w:t>
              <w:tab/>
              <w:t>1套</w:t>
            </w:r>
          </w:p>
          <w:p>
            <w:pPr>
              <w:pStyle w:val="63"/>
              <w:adjustRightInd w:val="0"/>
              <w:snapToGrid w:val="0"/>
              <w:rPr>
                <w:rFonts w:ascii="宋体" w:eastAsia="宋体" w:cs="宋体" w:hint="eastAsia"/>
                <w:szCs w:val="21"/>
              </w:rPr>
            </w:pPr>
            <w:r>
              <w:rPr>
                <w:rFonts w:ascii="宋体" w:eastAsia="宋体" w:cs="宋体" w:hint="eastAsia"/>
                <w:szCs w:val="21"/>
              </w:rPr>
              <w:t>6.EDI</w:t>
              <w:tab/>
              <w:t>1套</w:t>
            </w:r>
          </w:p>
          <w:p>
            <w:pPr>
              <w:pStyle w:val="63"/>
              <w:adjustRightInd w:val="0"/>
              <w:snapToGrid w:val="0"/>
              <w:rPr>
                <w:rFonts w:ascii="宋体" w:eastAsia="宋体" w:cs="宋体" w:hint="eastAsia"/>
                <w:szCs w:val="21"/>
              </w:rPr>
            </w:pPr>
            <w:r>
              <w:rPr>
                <w:rFonts w:ascii="宋体" w:eastAsia="宋体" w:cs="宋体" w:hint="eastAsia"/>
                <w:szCs w:val="21"/>
              </w:rPr>
              <w:t>7.TOC检测仪</w:t>
              <w:tab/>
              <w:t>1套</w:t>
            </w:r>
          </w:p>
          <w:p>
            <w:pPr>
              <w:pStyle w:val="63"/>
              <w:adjustRightInd w:val="0"/>
              <w:snapToGrid w:val="0"/>
              <w:rPr>
                <w:rFonts w:ascii="宋体" w:eastAsia="宋体" w:cs="宋体" w:hint="eastAsia"/>
                <w:szCs w:val="21"/>
              </w:rPr>
            </w:pPr>
            <w:r>
              <w:rPr>
                <w:rFonts w:ascii="宋体" w:eastAsia="宋体" w:cs="宋体" w:hint="eastAsia"/>
                <w:szCs w:val="21"/>
              </w:rPr>
              <w:t>8.水箱</w:t>
              <w:tab/>
              <w:t>1套</w:t>
            </w:r>
          </w:p>
          <w:p>
            <w:pPr>
              <w:pStyle w:val="63"/>
              <w:adjustRightInd w:val="0"/>
              <w:snapToGrid w:val="0"/>
              <w:rPr>
                <w:rFonts w:ascii="宋体" w:eastAsia="宋体" w:cs="宋体" w:hint="eastAsia"/>
                <w:szCs w:val="21"/>
              </w:rPr>
            </w:pPr>
            <w:r>
              <w:rPr>
                <w:rFonts w:ascii="宋体" w:eastAsia="宋体" w:cs="宋体" w:hint="eastAsia"/>
                <w:szCs w:val="21"/>
              </w:rPr>
              <w:t>9.取水手臂</w:t>
              <w:tab/>
              <w:t>1套</w:t>
            </w:r>
          </w:p>
          <w:p>
            <w:pPr>
              <w:pStyle w:val="63"/>
              <w:adjustRightInd w:val="0"/>
              <w:snapToGrid w:val="0"/>
              <w:rPr>
                <w:rFonts w:ascii="宋体" w:eastAsia="宋体" w:cs="宋体" w:hint="eastAsia"/>
                <w:szCs w:val="21"/>
              </w:rPr>
            </w:pPr>
            <w:r>
              <w:rPr>
                <w:rFonts w:ascii="宋体" w:eastAsia="宋体" w:cs="宋体" w:hint="eastAsia"/>
                <w:szCs w:val="21"/>
              </w:rPr>
              <w:t>10.智能控制系统</w:t>
              <w:tab/>
              <w:t>1套</w:t>
            </w:r>
          </w:p>
          <w:p>
            <w:pPr>
              <w:pStyle w:val="63"/>
              <w:adjustRightInd w:val="0"/>
              <w:snapToGrid w:val="0"/>
              <w:rPr>
                <w:rFonts w:ascii="宋体" w:eastAsia="宋体" w:cs="宋体" w:hint="eastAsia"/>
                <w:szCs w:val="21"/>
              </w:rPr>
            </w:pPr>
            <w:r>
              <w:rPr>
                <w:rFonts w:ascii="宋体" w:eastAsia="宋体" w:cs="宋体" w:hint="eastAsia"/>
                <w:szCs w:val="21"/>
              </w:rPr>
              <w:t>11.云端控制系统</w:t>
              <w:tab/>
              <w:t>1套</w:t>
            </w:r>
          </w:p>
          <w:p>
            <w:pPr>
              <w:pStyle w:val="63"/>
              <w:adjustRightInd w:val="0"/>
              <w:snapToGrid w:val="0"/>
              <w:rPr>
                <w:rFonts w:ascii="宋体" w:eastAsia="宋体" w:cs="宋体" w:hint="eastAsia"/>
                <w:szCs w:val="21"/>
              </w:rPr>
            </w:pPr>
            <w:r>
              <w:rPr>
                <w:rFonts w:ascii="宋体" w:eastAsia="宋体" w:cs="宋体" w:hint="eastAsia"/>
                <w:szCs w:val="21"/>
              </w:rPr>
              <w:t>12.漏水检测器</w:t>
              <w:tab/>
              <w:t>1套</w:t>
            </w:r>
          </w:p>
        </w:tc>
      </w:tr>
    </w:tbl>
    <w:tbl>
      <w:tblPr>
        <w:jc w:val="center"/>
        <w:tblW w:w="9578"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CellMar>
          <w:top w:w="0" w:type="dxa"/>
          <w:left w:w="108" w:type="dxa"/>
          <w:bottom w:w="0" w:type="dxa"/>
          <w:right w:w="108" w:type="dxa"/>
        </w:tblCellMar>
      </w:tblPr>
      <w:tblGrid>
        <w:gridCol w:w="1838"/>
        <w:gridCol w:w="7740"/>
      </w:tblGrid>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23"/>
              <w:spacing w:line="400" w:lineRule="exact"/>
              <w:rPr>
                <w:rFonts w:ascii="宋体"/>
                <w:b/>
                <w:bCs/>
                <w:color w:val="000000"/>
                <w:szCs w:val="21"/>
              </w:rPr>
            </w:pPr>
            <w:r>
              <w:rPr>
                <w:rFonts w:ascii="宋体" w:hint="eastAsia"/>
                <w:b/>
                <w:color w:val="000000"/>
                <w:szCs w:val="21"/>
                <w:lang w:eastAsia="zh-CN"/>
              </w:rPr>
              <w:t>二</w:t>
            </w:r>
            <w:r>
              <w:rPr>
                <w:rFonts w:ascii="宋体"/>
                <w:b/>
                <w:color w:val="000000"/>
                <w:szCs w:val="21"/>
              </w:rPr>
              <w:t>、</w:t>
            </w:r>
            <w:r>
              <w:rPr>
                <w:rFonts w:ascii="宋体" w:hint="eastAsia"/>
                <w:b/>
                <w:color w:val="000000"/>
                <w:szCs w:val="21"/>
              </w:rPr>
              <w:t>商务要求</w:t>
            </w:r>
          </w:p>
        </w:tc>
      </w:tr>
      <w:tr>
        <w:trPr>
          <w:trHeight w:val="566"/>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pPr>
              <w:pStyle w:val="24"/>
              <w:spacing w:line="400" w:lineRule="exact"/>
              <w:jc w:val="center"/>
              <w:rPr>
                <w:rFonts w:ascii="宋体"/>
                <w:bCs/>
                <w:color w:val="000000"/>
                <w:szCs w:val="21"/>
              </w:rPr>
            </w:pPr>
            <w:r>
              <w:rPr>
                <w:rFonts w:ascii="宋体"/>
                <w:bCs/>
                <w:color w:val="000000"/>
                <w:szCs w:val="21"/>
              </w:rPr>
              <w:t>（一）</w:t>
            </w:r>
            <w:r>
              <w:rPr>
                <w:rFonts w:ascii="宋体" w:hint="eastAsia"/>
                <w:bCs/>
                <w:color w:val="000000"/>
                <w:szCs w:val="21"/>
              </w:rPr>
              <w:t>合同签订时间</w:t>
            </w:r>
          </w:p>
        </w:tc>
        <w:tc>
          <w:tcPr>
            <w:tcW w:w="7740" w:type="dxa"/>
            <w:tcBorders>
              <w:top w:val="single" w:sz="4" w:space="0" w:color="auto"/>
              <w:left w:val="nil"/>
              <w:bottom w:val="single" w:sz="4" w:space="0" w:color="auto"/>
              <w:right w:val="single" w:sz="4" w:space="0" w:color="auto"/>
              <w:tl2br w:val="nil"/>
              <w:tr2bl w:val="nil"/>
            </w:tcBorders>
          </w:tcPr>
          <w:p>
            <w:pPr>
              <w:pStyle w:val="25"/>
              <w:spacing w:line="400" w:lineRule="exact"/>
              <w:rPr>
                <w:rFonts w:ascii="宋体"/>
                <w:bCs/>
                <w:color w:val="000000"/>
                <w:szCs w:val="21"/>
              </w:rPr>
            </w:pPr>
            <w:r>
              <w:rPr>
                <w:rFonts w:ascii="宋体" w:hint="eastAsia"/>
                <w:bCs/>
                <w:color w:val="000000"/>
                <w:szCs w:val="21"/>
              </w:rPr>
              <w:t>1.自成交通知书发出后</w:t>
            </w:r>
            <w:r>
              <w:rPr>
                <w:rFonts w:ascii="宋体" w:hint="eastAsia"/>
                <w:bCs/>
                <w:color w:val="000000"/>
                <w:szCs w:val="21"/>
                <w:lang w:val="en-US" w:eastAsia="zh-CN"/>
              </w:rPr>
              <w:t>30</w:t>
            </w:r>
            <w:r>
              <w:rPr>
                <w:rFonts w:ascii="宋体" w:hint="eastAsia"/>
                <w:bCs/>
                <w:color w:val="000000"/>
                <w:szCs w:val="21"/>
              </w:rPr>
              <w:t>个日历日内。</w:t>
            </w:r>
          </w:p>
          <w:p>
            <w:pPr>
              <w:pStyle w:val="25"/>
              <w:spacing w:line="400" w:lineRule="exact"/>
              <w:rPr>
                <w:rFonts w:ascii="宋体"/>
                <w:bCs/>
                <w:color w:val="000000"/>
                <w:szCs w:val="21"/>
              </w:rPr>
            </w:pPr>
            <w:r>
              <w:rPr>
                <w:rFonts w:ascii="宋体" w:hint="eastAsia"/>
                <w:bCs/>
                <w:color w:val="000000"/>
                <w:szCs w:val="21"/>
              </w:rPr>
              <w:t>2.地点：</w:t>
            </w:r>
            <w:r>
              <w:rPr>
                <w:rFonts w:ascii="宋体" w:hint="eastAsia"/>
                <w:bCs/>
                <w:color w:val="auto"/>
                <w:szCs w:val="21"/>
                <w:lang w:eastAsia="zh-CN"/>
              </w:rPr>
              <w:t>广西壮族自治区柳州市海关路</w:t>
            </w:r>
            <w:r>
              <w:rPr>
                <w:rFonts w:ascii="宋体" w:hint="eastAsia"/>
                <w:bCs/>
                <w:color w:val="auto"/>
                <w:szCs w:val="21"/>
                <w:lang w:val="en-US" w:eastAsia="zh-CN"/>
              </w:rPr>
              <w:t>6号</w:t>
            </w:r>
          </w:p>
        </w:tc>
      </w:tr>
      <w:tr>
        <w:trPr>
          <w:trHeight w:val="566"/>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pPr>
              <w:pStyle w:val="26"/>
              <w:spacing w:line="400" w:lineRule="exact"/>
              <w:jc w:val="center"/>
              <w:rPr>
                <w:rFonts w:ascii="宋体"/>
                <w:bCs/>
                <w:color w:val="000000"/>
                <w:szCs w:val="21"/>
              </w:rPr>
            </w:pPr>
            <w:r>
              <w:rPr>
                <w:rFonts w:ascii="宋体"/>
                <w:bCs/>
                <w:color w:val="000000"/>
                <w:szCs w:val="21"/>
              </w:rPr>
              <w:t>（二）</w:t>
            </w:r>
            <w:r>
              <w:rPr>
                <w:rFonts w:ascii="宋体" w:hint="eastAsia"/>
                <w:bCs/>
                <w:color w:val="000000"/>
                <w:szCs w:val="21"/>
              </w:rPr>
              <w:t>交付时间及地点</w:t>
            </w:r>
          </w:p>
        </w:tc>
        <w:tc>
          <w:tcPr>
            <w:tcW w:w="7740" w:type="dxa"/>
            <w:tcBorders>
              <w:top w:val="single" w:sz="4" w:space="0" w:color="auto"/>
              <w:left w:val="nil"/>
              <w:bottom w:val="single" w:sz="4" w:space="0" w:color="auto"/>
              <w:right w:val="single" w:sz="4" w:space="0" w:color="auto"/>
              <w:tl2br w:val="nil"/>
              <w:tr2bl w:val="nil"/>
            </w:tcBorders>
          </w:tcPr>
          <w:p>
            <w:pPr>
              <w:pStyle w:val="27"/>
              <w:spacing w:line="400" w:lineRule="exact"/>
              <w:rPr>
                <w:rFonts w:ascii="宋体"/>
                <w:bCs/>
                <w:color w:val="000000"/>
                <w:szCs w:val="21"/>
              </w:rPr>
            </w:pPr>
            <w:r>
              <w:rPr>
                <w:rFonts w:ascii="宋体" w:hint="eastAsia"/>
                <w:bCs/>
                <w:color w:val="000000"/>
                <w:szCs w:val="21"/>
              </w:rPr>
              <w:t>1.交货时间：在签订合同之日起</w:t>
            </w:r>
            <w:r>
              <w:rPr>
                <w:rFonts w:ascii="宋体" w:hint="eastAsia"/>
                <w:bCs/>
                <w:color w:val="000000"/>
                <w:szCs w:val="21"/>
                <w:lang w:val="en-US" w:eastAsia="zh-CN"/>
              </w:rPr>
              <w:t>30</w:t>
            </w:r>
            <w:r>
              <w:rPr>
                <w:rFonts w:ascii="宋体" w:hint="eastAsia"/>
                <w:bCs/>
                <w:color w:val="000000"/>
                <w:szCs w:val="21"/>
              </w:rPr>
              <w:t>个日历日内。</w:t>
            </w:r>
          </w:p>
          <w:p>
            <w:pPr>
              <w:pStyle w:val="27"/>
              <w:spacing w:line="400" w:lineRule="exact"/>
              <w:rPr>
                <w:rFonts w:ascii="宋体" w:eastAsia="宋体"/>
                <w:bCs/>
                <w:color w:val="000000"/>
                <w:szCs w:val="21"/>
                <w:lang w:val="en-US" w:eastAsia="zh-CN"/>
              </w:rPr>
            </w:pPr>
            <w:r>
              <w:rPr>
                <w:rFonts w:ascii="宋体" w:hint="eastAsia"/>
                <w:bCs/>
                <w:color w:val="000000"/>
                <w:szCs w:val="21"/>
              </w:rPr>
              <w:t>2.交货地点：</w:t>
            </w:r>
            <w:r>
              <w:rPr>
                <w:rFonts w:ascii="宋体" w:hint="eastAsia"/>
                <w:bCs/>
                <w:color w:val="auto"/>
                <w:szCs w:val="21"/>
                <w:lang w:eastAsia="zh-CN"/>
              </w:rPr>
              <w:t>广西壮族自治区柳州市海关路</w:t>
            </w:r>
            <w:r>
              <w:rPr>
                <w:rFonts w:ascii="宋体" w:hint="eastAsia"/>
                <w:bCs/>
                <w:color w:val="auto"/>
                <w:szCs w:val="21"/>
                <w:lang w:val="en-US" w:eastAsia="zh-CN"/>
              </w:rPr>
              <w:t>6号</w:t>
            </w:r>
          </w:p>
        </w:tc>
      </w:tr>
      <w:tr>
        <w:trPr>
          <w:trHeight w:val="566"/>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pPr>
              <w:pStyle w:val="28"/>
              <w:spacing w:line="400" w:lineRule="exact"/>
              <w:rPr>
                <w:rFonts w:ascii="宋体"/>
                <w:bCs/>
                <w:color w:val="000000"/>
                <w:szCs w:val="21"/>
              </w:rPr>
            </w:pPr>
            <w:r>
              <w:rPr>
                <w:rFonts w:ascii="宋体"/>
                <w:bCs/>
                <w:color w:val="000000"/>
                <w:szCs w:val="21"/>
              </w:rPr>
              <w:t>（三）</w:t>
            </w:r>
            <w:r>
              <w:rPr>
                <w:rFonts w:ascii="宋体" w:hint="eastAsia"/>
                <w:bCs/>
                <w:color w:val="000000"/>
                <w:szCs w:val="21"/>
              </w:rPr>
              <w:t>报价要求</w:t>
            </w:r>
          </w:p>
        </w:tc>
        <w:tc>
          <w:tcPr>
            <w:tcW w:w="7740" w:type="dxa"/>
            <w:tcBorders>
              <w:top w:val="single" w:sz="4" w:space="0" w:color="auto"/>
              <w:left w:val="nil"/>
              <w:bottom w:val="single" w:sz="4" w:space="0" w:color="auto"/>
              <w:right w:val="single" w:sz="4" w:space="0" w:color="auto"/>
              <w:tl2br w:val="nil"/>
              <w:tr2bl w:val="nil"/>
            </w:tcBorders>
            <w:vAlign w:val="center"/>
          </w:tcPr>
          <w:p>
            <w:pPr>
              <w:pStyle w:val="29"/>
              <w:spacing w:line="400" w:lineRule="exact"/>
              <w:rPr>
                <w:rFonts w:ascii="宋体"/>
                <w:color w:val="000000"/>
                <w:szCs w:val="21"/>
              </w:rPr>
            </w:pPr>
            <w:r>
              <w:rPr>
                <w:rFonts w:ascii="宋体" w:cs="宋体" w:hint="eastAsia"/>
                <w:color w:val="000000"/>
                <w:szCs w:val="21"/>
              </w:rPr>
              <w:t>成交供应商负责将设备运至采购人指定的地点，负责安装，现场培训及技术应用培训。成交价应包含产品的制造、材料费(主材及辅材)、运输、安装、验收、保修、税收、所有手续费等直至验收合格交付采购人使用的所有相关费用。</w:t>
            </w:r>
          </w:p>
        </w:tc>
      </w:tr>
      <w:tr>
        <w:trPr>
          <w:trHeight w:val="566"/>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pPr>
              <w:pStyle w:val="28"/>
              <w:spacing w:line="400" w:lineRule="exact"/>
              <w:jc w:val="center"/>
              <w:rPr>
                <w:rFonts w:ascii="宋体"/>
                <w:bCs/>
                <w:color w:val="000000"/>
                <w:szCs w:val="21"/>
              </w:rPr>
            </w:pPr>
            <w:r>
              <w:rPr>
                <w:szCs w:val="21"/>
              </w:rPr>
              <w:t>（四）履约保证金</w:t>
            </w:r>
          </w:p>
        </w:tc>
        <w:tc>
          <w:tcPr>
            <w:tcW w:w="7740" w:type="dxa"/>
            <w:tcBorders>
              <w:top w:val="single" w:sz="4" w:space="0" w:color="auto"/>
              <w:left w:val="nil"/>
              <w:bottom w:val="single" w:sz="4" w:space="0" w:color="auto"/>
              <w:right w:val="single" w:sz="4" w:space="0" w:color="auto"/>
              <w:tl2br w:val="nil"/>
              <w:tr2bl w:val="nil"/>
            </w:tcBorders>
            <w:vAlign w:val="center"/>
          </w:tcPr>
          <w:p>
            <w:pPr>
              <w:spacing w:line="400" w:lineRule="exact"/>
              <w:rPr>
                <w:rFonts w:ascii="宋体" w:eastAsia="宋体" w:cs="宋体"/>
                <w:color w:val="000000"/>
                <w:sz w:val="21"/>
                <w:szCs w:val="21"/>
              </w:rPr>
            </w:pPr>
            <w:r>
              <w:rPr>
                <w:rFonts w:ascii="宋体" w:eastAsia="宋体" w:cs="宋体" w:hint="eastAsia"/>
                <w:color w:val="000000"/>
                <w:sz w:val="21"/>
                <w:szCs w:val="21"/>
              </w:rPr>
              <w:sym w:font="Wingdings 2" w:char="F0A3"/>
            </w:r>
            <w:r>
              <w:rPr>
                <w:rFonts w:ascii="宋体" w:eastAsia="宋体" w:cs="宋体" w:hint="eastAsia"/>
                <w:color w:val="000000"/>
                <w:sz w:val="21"/>
                <w:szCs w:val="21"/>
              </w:rPr>
              <w:t>本项目不收取履约保证金。</w:t>
            </w:r>
          </w:p>
          <w:p>
            <w:pPr>
              <w:pStyle w:val="18"/>
              <w:spacing w:line="400" w:lineRule="exact"/>
              <w:rPr>
                <w:rFonts w:ascii="宋体" w:cs="宋体"/>
                <w:szCs w:val="21"/>
              </w:rPr>
            </w:pPr>
            <w:r>
              <w:rPr>
                <w:rFonts w:ascii="宋体" w:hint="eastAsia"/>
                <w:kern w:val="0"/>
                <w:szCs w:val="21"/>
                <w:lang w:eastAsia="zh-CN"/>
              </w:rPr>
              <w:sym w:font="Wingdings 2" w:char="F052"/>
            </w:r>
            <w:r>
              <w:rPr>
                <w:rFonts w:ascii="宋体" w:cs="宋体" w:hint="eastAsia"/>
                <w:szCs w:val="21"/>
              </w:rPr>
              <w:t>本项目收取履约保证金，具体规定如下：</w:t>
            </w:r>
          </w:p>
          <w:p>
            <w:pPr>
              <w:pStyle w:val="18"/>
              <w:spacing w:line="400" w:lineRule="exact"/>
              <w:rPr>
                <w:rFonts w:ascii="宋体" w:cs="宋体"/>
                <w:szCs w:val="21"/>
              </w:rPr>
            </w:pPr>
            <w:r>
              <w:rPr>
                <w:rFonts w:ascii="宋体" w:cs="宋体" w:hint="eastAsia"/>
                <w:szCs w:val="21"/>
              </w:rPr>
              <w:t>1.履约保证金金额：按合同金额的2%收取，于合同签订后5个工作日提交至采购人指定账户。</w:t>
            </w:r>
          </w:p>
          <w:p>
            <w:pPr>
              <w:pStyle w:val="18"/>
              <w:spacing w:line="400" w:lineRule="exact"/>
              <w:rPr>
                <w:rFonts w:ascii="宋体" w:cs="宋体"/>
                <w:szCs w:val="21"/>
              </w:rPr>
            </w:pPr>
            <w:r>
              <w:rPr>
                <w:rFonts w:ascii="宋体" w:cs="宋体" w:hint="eastAsia"/>
                <w:szCs w:val="21"/>
              </w:rPr>
              <w:t>2.履约保证金提交方式：银行转账、电汇或网上支付、支票、汇票、本票或者银行、保险机构出具的保函等非现金方式。</w:t>
            </w:r>
          </w:p>
          <w:p>
            <w:pPr>
              <w:pStyle w:val="88"/>
              <w:spacing w:line="400" w:lineRule="exact"/>
              <w:rPr>
                <w:rFonts w:ascii="宋体" w:cs="宋体"/>
                <w:szCs w:val="21"/>
                <w:u w:val="single"/>
              </w:rPr>
            </w:pPr>
            <w:r>
              <w:rPr>
                <w:rFonts w:ascii="宋体" w:cs="宋体" w:hint="eastAsia"/>
                <w:szCs w:val="21"/>
              </w:rPr>
              <w:t>3.履约保证金退付方式、时间及条件：</w:t>
            </w:r>
            <w:r>
              <w:rPr>
                <w:rFonts w:ascii="宋体" w:cs="宋体" w:hint="eastAsia"/>
                <w:szCs w:val="21"/>
                <w:u w:val="single"/>
              </w:rPr>
              <w:t>货物验收合格后15个工作日内无息退付。履约保证金退付方式同协商保证金退付方式。由成交供应商向履约保证金收取单位提供《项目合同验收书》，保证金收取单位在收到合格材料后15个工作日内办理退还手续（不计利息）。</w:t>
            </w:r>
          </w:p>
          <w:p>
            <w:pPr>
              <w:pStyle w:val="18"/>
              <w:spacing w:line="400" w:lineRule="exact"/>
              <w:rPr>
                <w:rFonts w:ascii="宋体" w:cs="宋体"/>
                <w:szCs w:val="21"/>
              </w:rPr>
            </w:pPr>
            <w:r>
              <w:rPr>
                <w:rFonts w:ascii="宋体" w:cs="宋体" w:hint="eastAsia"/>
                <w:szCs w:val="21"/>
              </w:rPr>
              <w:t>4.履约保证金指定账户：</w:t>
            </w:r>
          </w:p>
          <w:p>
            <w:pPr>
              <w:pStyle w:val="18"/>
              <w:spacing w:line="400" w:lineRule="exact"/>
              <w:rPr>
                <w:rFonts w:ascii="宋体" w:eastAsia="宋体" w:cs="宋体" w:hint="eastAsia"/>
                <w:szCs w:val="21"/>
                <w:lang w:eastAsia="zh-CN"/>
              </w:rPr>
            </w:pPr>
            <w:r>
              <w:rPr>
                <w:rFonts w:ascii="宋体" w:cs="宋体" w:hint="eastAsia"/>
                <w:szCs w:val="21"/>
              </w:rPr>
              <w:t xml:space="preserve">户名： </w:t>
            </w:r>
            <w:r>
              <w:rPr>
                <w:rFonts w:ascii="宋体" w:cs="宋体" w:hint="eastAsia"/>
                <w:szCs w:val="21"/>
                <w:lang w:eastAsia="zh-CN"/>
              </w:rPr>
              <w:t>柳州海关综合技术服务中心</w:t>
            </w:r>
          </w:p>
          <w:p>
            <w:pPr>
              <w:pStyle w:val="18"/>
              <w:spacing w:line="400" w:lineRule="exact"/>
              <w:jc w:val="left"/>
              <w:rPr>
                <w:rFonts w:ascii="宋体" w:eastAsia="宋体" w:cs="宋体" w:hint="eastAsia"/>
                <w:szCs w:val="21"/>
                <w:lang w:eastAsia="zh-CN"/>
              </w:rPr>
            </w:pPr>
            <w:r>
              <w:rPr>
                <w:rFonts w:ascii="宋体" w:cs="宋体" w:hint="eastAsia"/>
                <w:szCs w:val="21"/>
              </w:rPr>
              <w:t>开户银行：</w:t>
            </w:r>
            <w:r>
              <w:rPr>
                <w:rFonts w:ascii="宋体" w:cs="宋体" w:hint="eastAsia"/>
                <w:szCs w:val="21"/>
                <w:lang w:eastAsia="zh-CN"/>
              </w:rPr>
              <w:t>中国银行柳州市高新区科技支行</w:t>
            </w:r>
          </w:p>
          <w:p>
            <w:pPr>
              <w:pStyle w:val="18"/>
              <w:spacing w:line="400" w:lineRule="exact"/>
              <w:jc w:val="left"/>
              <w:rPr>
                <w:rFonts w:ascii="宋体" w:eastAsia="宋体" w:cs="宋体"/>
                <w:szCs w:val="21"/>
                <w:lang w:val="en-US" w:eastAsia="zh-CN"/>
              </w:rPr>
            </w:pPr>
            <w:r>
              <w:rPr>
                <w:rFonts w:ascii="宋体" w:cs="宋体" w:hint="eastAsia"/>
                <w:szCs w:val="21"/>
              </w:rPr>
              <w:t>银行账户：</w:t>
            </w:r>
            <w:r>
              <w:rPr>
                <w:rFonts w:ascii="宋体" w:cs="宋体" w:hint="eastAsia"/>
                <w:szCs w:val="21"/>
                <w:lang w:val="en-US" w:eastAsia="zh-CN"/>
              </w:rPr>
              <w:t>614557487616</w:t>
            </w:r>
          </w:p>
          <w:p>
            <w:pPr>
              <w:pStyle w:val="18"/>
              <w:spacing w:line="400" w:lineRule="exact"/>
              <w:jc w:val="left"/>
              <w:rPr>
                <w:rFonts w:ascii="宋体" w:eastAsia="宋体" w:cs="Courier New" w:hint="eastAsia"/>
                <w:szCs w:val="21"/>
                <w:lang w:eastAsia="zh-CN"/>
              </w:rPr>
            </w:pPr>
            <w:r>
              <w:rPr>
                <w:rFonts w:ascii="宋体" w:cs="Courier New" w:hint="eastAsia"/>
                <w:szCs w:val="21"/>
              </w:rPr>
              <w:t>备注：</w:t>
            </w:r>
            <w:r>
              <w:rPr>
                <w:rFonts w:ascii="宋体" w:cs="Courier New" w:hint="eastAsia"/>
                <w:szCs w:val="21"/>
                <w:lang w:eastAsia="zh-CN"/>
              </w:rPr>
              <w:t>无</w:t>
            </w:r>
          </w:p>
          <w:p>
            <w:pPr>
              <w:pStyle w:val="18"/>
              <w:spacing w:line="400" w:lineRule="exact"/>
              <w:jc w:val="left"/>
              <w:rPr>
                <w:rFonts w:ascii="宋体" w:cs="宋体" w:hint="eastAsia"/>
                <w:szCs w:val="21"/>
              </w:rPr>
            </w:pPr>
            <w:r>
              <w:rPr>
                <w:rFonts w:ascii="宋体" w:cs="宋体" w:hint="eastAsia"/>
                <w:szCs w:val="21"/>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采购人有权按照合同违约处理。</w:t>
            </w:r>
          </w:p>
          <w:p>
            <w:pPr>
              <w:pStyle w:val="18"/>
              <w:spacing w:line="400" w:lineRule="exact"/>
              <w:jc w:val="left"/>
              <w:rPr>
                <w:rFonts w:ascii="宋体" w:cs="宋体" w:hint="eastAsia"/>
                <w:szCs w:val="21"/>
              </w:rPr>
            </w:pPr>
            <w:r>
              <w:rPr>
                <w:rFonts w:ascii="宋体" w:cs="宋体" w:hint="eastAsia"/>
                <w:szCs w:val="21"/>
              </w:rPr>
              <w:t>2.采用银行、保险机构出具的保函的，必须为无条件保函，否则采购人有权按照合同违约处理。</w:t>
            </w:r>
          </w:p>
          <w:p>
            <w:pPr>
              <w:pStyle w:val="18"/>
              <w:spacing w:line="400" w:lineRule="exact"/>
              <w:jc w:val="left"/>
              <w:rPr>
                <w:rFonts w:ascii="Calibri" w:hAnsi="Calibri"/>
              </w:rPr>
            </w:pPr>
            <w:r>
              <w:rPr>
                <w:rFonts w:ascii="宋体" w:cs="宋体" w:hint="eastAsia"/>
                <w:szCs w:val="21"/>
              </w:rPr>
              <w:t>3.协商供应商为联合体的，由联合体其中一方按规定提交的履约保证金，视为有效履约保证金。</w:t>
            </w:r>
          </w:p>
        </w:tc>
      </w:tr>
      <w:tr>
        <w:trPr>
          <w:trHeight w:val="566"/>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pPr>
              <w:pStyle w:val="30"/>
              <w:spacing w:line="400" w:lineRule="exact"/>
              <w:rPr>
                <w:rFonts w:ascii="宋体"/>
                <w:bCs/>
                <w:color w:val="000000"/>
                <w:szCs w:val="21"/>
              </w:rPr>
            </w:pPr>
            <w:r>
              <w:rPr>
                <w:rFonts w:ascii="宋体"/>
                <w:bCs/>
                <w:color w:val="000000"/>
                <w:szCs w:val="21"/>
              </w:rPr>
              <w:t>（五）</w:t>
            </w:r>
            <w:r>
              <w:rPr>
                <w:rFonts w:ascii="宋体" w:hint="eastAsia"/>
                <w:bCs/>
                <w:color w:val="000000"/>
                <w:szCs w:val="21"/>
              </w:rPr>
              <w:t>付款条件</w:t>
            </w:r>
          </w:p>
        </w:tc>
        <w:tc>
          <w:tcPr>
            <w:tcW w:w="7740" w:type="dxa"/>
            <w:tcBorders>
              <w:top w:val="single" w:sz="4" w:space="0" w:color="auto"/>
              <w:left w:val="nil"/>
              <w:bottom w:val="single" w:sz="4" w:space="0" w:color="auto"/>
              <w:right w:val="single" w:sz="4" w:space="0" w:color="auto"/>
              <w:tl2br w:val="nil"/>
              <w:tr2bl w:val="nil"/>
            </w:tcBorders>
          </w:tcPr>
          <w:p>
            <w:pPr>
              <w:pStyle w:val="31"/>
              <w:spacing w:line="400" w:lineRule="exact"/>
              <w:rPr>
                <w:rFonts w:ascii="宋体"/>
                <w:color w:val="FF0000"/>
                <w:szCs w:val="21"/>
              </w:rPr>
            </w:pPr>
            <w:r>
              <w:rPr>
                <w:rFonts w:ascii="宋体" w:hint="eastAsia"/>
                <w:color w:val="000000"/>
                <w:szCs w:val="21"/>
              </w:rPr>
              <w:t>1.付款方式</w:t>
            </w:r>
            <w:r>
              <w:rPr>
                <w:rFonts w:ascii="宋体"/>
                <w:color w:val="000000"/>
                <w:szCs w:val="21"/>
              </w:rPr>
              <w:t>：</w:t>
            </w:r>
            <w:r>
              <w:rPr>
                <w:rFonts w:ascii="Arial" w:hAnsi="Arial"/>
                <w:b w:val="0"/>
                <w:bCs w:val="0"/>
                <w:i w:val="0"/>
                <w:iCs w:val="0"/>
                <w:caps w:val="0"/>
                <w:smallCaps w:val="0"/>
                <w:color w:val="000000"/>
                <w:spacing w:val="0"/>
                <w:sz w:val="21"/>
                <w:szCs w:val="21"/>
              </w:rPr>
              <w:t>签订合同，设备安装调试完毕并经采购人最终验收合格后，采购人应自收到成交供应商提交的最终验收报告、全额发票、以及付款申请之日起10个工作日内100%支付合同金额。</w:t>
            </w:r>
          </w:p>
          <w:p>
            <w:pPr>
              <w:pStyle w:val="31"/>
              <w:widowControl/>
              <w:spacing w:line="400" w:lineRule="exact"/>
              <w:rPr>
                <w:rFonts w:cs="方正仿宋_GBK"/>
                <w:bCs/>
                <w:color w:val="0070C0"/>
              </w:rPr>
            </w:pPr>
            <w:r>
              <w:rPr>
                <w:rFonts w:ascii="宋体" w:hint="eastAsia"/>
                <w:color w:val="000000"/>
                <w:szCs w:val="21"/>
              </w:rPr>
              <w:t>2.票据要求：付款前成交供应商必须按照合同要求提供真实、有效、合法的正式发票，并经采购人检查票据合格。一旦发现成交供应商提供虚假发票，除须向采购人补开合法发票外，须向采购人支付发票票面金额一倍的违约金，且采购人有权终止合同，因终止合同而产生的一切损失均由供应商承担。</w:t>
            </w:r>
          </w:p>
          <w:p>
            <w:pPr>
              <w:pStyle w:val="31"/>
              <w:widowControl/>
              <w:spacing w:line="400" w:lineRule="exact"/>
              <w:rPr>
                <w:rFonts w:ascii="宋体"/>
                <w:color w:val="000000"/>
                <w:szCs w:val="21"/>
              </w:rPr>
            </w:pPr>
            <w:r>
              <w:rPr>
                <w:rFonts w:ascii="宋体" w:hint="eastAsia"/>
                <w:color w:val="000000"/>
                <w:szCs w:val="21"/>
              </w:rPr>
              <w:t>3.本合同使用货币币制如未作特别说明均为人民币。</w:t>
            </w:r>
          </w:p>
          <w:p>
            <w:pPr>
              <w:pStyle w:val="31"/>
              <w:widowControl/>
              <w:spacing w:line="400" w:lineRule="exact"/>
              <w:rPr>
                <w:rFonts w:ascii="宋体"/>
                <w:color w:val="000000"/>
                <w:szCs w:val="21"/>
              </w:rPr>
            </w:pPr>
            <w:r>
              <w:rPr>
                <w:rFonts w:ascii="宋体" w:hint="eastAsia"/>
                <w:color w:val="000000"/>
                <w:szCs w:val="21"/>
              </w:rPr>
              <w:t>4.因财政集中支付延误时间不计算在内，成交供应商提交付款单据延迟、缺失及账户信息错误的，采购人有权相应顺延付款期限，且采购人不承担延误付款责任。</w:t>
            </w:r>
          </w:p>
        </w:tc>
      </w:tr>
      <w:tr>
        <w:trPr>
          <w:trHeight w:val="566"/>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pPr>
              <w:pStyle w:val="32"/>
              <w:spacing w:line="400" w:lineRule="exact"/>
              <w:jc w:val="center"/>
              <w:rPr>
                <w:rFonts w:ascii="宋体"/>
                <w:b/>
                <w:color w:val="000000"/>
                <w:szCs w:val="21"/>
              </w:rPr>
            </w:pPr>
            <w:r>
              <w:rPr>
                <w:rFonts w:ascii="宋体"/>
                <w:bCs/>
                <w:color w:val="000000"/>
                <w:szCs w:val="21"/>
              </w:rPr>
              <w:t>（六）</w:t>
            </w:r>
            <w:r>
              <w:rPr>
                <w:rFonts w:ascii="宋体" w:hint="eastAsia"/>
                <w:bCs/>
                <w:color w:val="000000"/>
                <w:szCs w:val="21"/>
              </w:rPr>
              <w:t>质保期</w:t>
            </w:r>
          </w:p>
        </w:tc>
        <w:tc>
          <w:tcPr>
            <w:tcW w:w="7740" w:type="dxa"/>
            <w:tcBorders>
              <w:top w:val="single" w:sz="4" w:space="0" w:color="auto"/>
              <w:left w:val="nil"/>
              <w:bottom w:val="single" w:sz="4" w:space="0" w:color="auto"/>
              <w:right w:val="single" w:sz="4" w:space="0" w:color="auto"/>
              <w:tl2br w:val="nil"/>
              <w:tr2bl w:val="nil"/>
            </w:tcBorders>
            <w:vAlign w:val="center"/>
          </w:tcPr>
          <w:p>
            <w:pPr>
              <w:pStyle w:val="33"/>
              <w:spacing w:line="400" w:lineRule="exact"/>
              <w:rPr>
                <w:rFonts w:ascii="宋体" w:cs="宋体"/>
                <w:color w:val="000000"/>
                <w:szCs w:val="21"/>
              </w:rPr>
            </w:pPr>
            <w:r>
              <w:rPr>
                <w:rFonts w:ascii="宋体" w:cs="宋体" w:hint="eastAsia"/>
                <w:color w:val="000000"/>
                <w:szCs w:val="21"/>
              </w:rPr>
              <w:t>验收合格后，质保期不少于3年，在质保期内，所有服务及配件全部</w:t>
            </w:r>
            <w:r>
              <w:rPr>
                <w:rFonts w:ascii="宋体" w:cs="宋体"/>
                <w:color w:val="000000"/>
                <w:szCs w:val="21"/>
              </w:rPr>
              <w:t xml:space="preserve">由供应商承担 </w:t>
            </w:r>
            <w:r>
              <w:rPr>
                <w:rFonts w:ascii="宋体" w:cs="宋体" w:hint="eastAsia"/>
                <w:color w:val="000000"/>
                <w:szCs w:val="21"/>
              </w:rPr>
              <w:t>。产品因故障停用，质保期相应顺延。质保期外，能及时地为用户提供仪器关键零备件、消耗品等。</w:t>
            </w:r>
          </w:p>
        </w:tc>
      </w:tr>
      <w:tr>
        <w:trPr>
          <w:trHeight w:val="566"/>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pPr>
              <w:pStyle w:val="34"/>
              <w:spacing w:line="400" w:lineRule="exact"/>
              <w:jc w:val="center"/>
              <w:rPr>
                <w:rFonts w:ascii="宋体"/>
                <w:b/>
                <w:color w:val="000000"/>
                <w:szCs w:val="21"/>
              </w:rPr>
            </w:pPr>
            <w:r>
              <w:rPr>
                <w:rFonts w:ascii="宋体"/>
                <w:bCs/>
                <w:color w:val="000000"/>
                <w:szCs w:val="21"/>
              </w:rPr>
              <w:t>（七）</w:t>
            </w:r>
            <w:r>
              <w:rPr>
                <w:rFonts w:ascii="宋体" w:hint="eastAsia"/>
                <w:bCs/>
                <w:color w:val="000000"/>
                <w:szCs w:val="21"/>
              </w:rPr>
              <w:t>售后服务要求</w:t>
            </w:r>
          </w:p>
        </w:tc>
        <w:tc>
          <w:tcPr>
            <w:tcW w:w="7740" w:type="dxa"/>
            <w:tcBorders>
              <w:top w:val="single" w:sz="4" w:space="0" w:color="auto"/>
              <w:left w:val="nil"/>
              <w:bottom w:val="single" w:sz="4" w:space="0" w:color="auto"/>
              <w:right w:val="single" w:sz="4" w:space="0" w:color="auto"/>
              <w:tl2br w:val="nil"/>
              <w:tr2bl w:val="nil"/>
            </w:tcBorders>
            <w:vAlign w:val="center"/>
          </w:tcPr>
          <w:p>
            <w:pPr>
              <w:pStyle w:val="35"/>
              <w:spacing w:line="400" w:lineRule="exact"/>
              <w:rPr>
                <w:rFonts w:ascii="宋体" w:cs="宋体"/>
                <w:color w:val="000000"/>
                <w:szCs w:val="21"/>
              </w:rPr>
            </w:pPr>
            <w:r>
              <w:rPr>
                <w:rFonts w:ascii="宋体" w:cs="宋体" w:hint="eastAsia"/>
                <w:color w:val="000000"/>
                <w:szCs w:val="21"/>
              </w:rPr>
              <w:t>1.质量保证和售后服务承诺：为保障货物质量及产品品质，成交供应商必须承诺在合同签订后正式供货时向采购人提供货物来源合法性证明（如：生产厂家针对此项目的质量保证证明、售后服务保证原件、供货证明原件、经销证书或购买发票等）。</w:t>
            </w:r>
          </w:p>
          <w:p>
            <w:pPr>
              <w:pStyle w:val="35"/>
              <w:spacing w:line="400" w:lineRule="exact"/>
              <w:rPr>
                <w:rFonts w:ascii="宋体" w:cs="宋体"/>
                <w:color w:val="000000"/>
                <w:szCs w:val="21"/>
              </w:rPr>
            </w:pPr>
            <w:r>
              <w:rPr>
                <w:rFonts w:ascii="宋体" w:cs="宋体" w:hint="eastAsia"/>
                <w:color w:val="000000"/>
                <w:szCs w:val="21"/>
              </w:rPr>
              <w:t>2.在质量保证期内设备发生故障，成交供应商应提供原厂商售后维修和更换零件服务。质保期后3年内，成交供应商提供设备技术支持，包括故障排除和零配件的供应、仪器软件升级和培训。</w:t>
            </w:r>
          </w:p>
          <w:p>
            <w:pPr>
              <w:pStyle w:val="35"/>
              <w:spacing w:line="400" w:lineRule="exact"/>
              <w:rPr>
                <w:rFonts w:ascii="宋体" w:cs="宋体"/>
                <w:color w:val="000000"/>
                <w:szCs w:val="21"/>
              </w:rPr>
            </w:pPr>
            <w:r>
              <w:rPr>
                <w:rFonts w:ascii="宋体" w:cs="宋体" w:hint="eastAsia"/>
                <w:color w:val="000000"/>
                <w:szCs w:val="21"/>
              </w:rPr>
              <w:t>3.合同签订后，在1周内成交供应商将仪器操作间的装修要求和水、电、气要求通知采购人。</w:t>
            </w:r>
          </w:p>
          <w:p>
            <w:pPr>
              <w:pStyle w:val="35"/>
              <w:spacing w:line="400" w:lineRule="exact"/>
              <w:rPr>
                <w:rFonts w:ascii="宋体" w:cs="宋体"/>
                <w:color w:val="000000"/>
                <w:szCs w:val="21"/>
              </w:rPr>
            </w:pPr>
            <w:r>
              <w:rPr>
                <w:rFonts w:ascii="宋体" w:cs="宋体" w:hint="eastAsia"/>
                <w:color w:val="000000"/>
                <w:szCs w:val="21"/>
              </w:rPr>
              <w:t>4.成交供应商负责将设备运至采购人指定的地点，负责安装，现场培训及技术应用培训。</w:t>
            </w:r>
          </w:p>
          <w:p>
            <w:pPr>
              <w:pStyle w:val="35"/>
              <w:spacing w:line="400" w:lineRule="exact"/>
              <w:rPr>
                <w:rFonts w:ascii="宋体" w:cs="宋体"/>
                <w:color w:val="000000"/>
                <w:szCs w:val="21"/>
              </w:rPr>
            </w:pPr>
            <w:r>
              <w:rPr>
                <w:rFonts w:ascii="宋体" w:cs="宋体" w:hint="eastAsia"/>
                <w:color w:val="000000"/>
                <w:szCs w:val="21"/>
              </w:rPr>
              <w:t>5.安装、调试货到后，成交供应商负责派技术人员到现场进行安装、调试，直至验收合格，带“</w:t>
            </w:r>
            <w:r>
              <w:rPr>
                <w:rFonts w:ascii="仿宋_GB2312" w:eastAsia="仿宋_GB2312" w:hint="eastAsia"/>
                <w:lang w:eastAsia="zh-CN"/>
              </w:rPr>
              <w:t>★</w:t>
            </w:r>
            <w:r>
              <w:rPr>
                <w:rFonts w:ascii="宋体" w:cs="宋体" w:hint="eastAsia"/>
                <w:color w:val="000000"/>
                <w:szCs w:val="21"/>
              </w:rPr>
              <w:t>”的项目必须符合其性能。</w:t>
            </w:r>
          </w:p>
          <w:p>
            <w:pPr>
              <w:pStyle w:val="35"/>
              <w:spacing w:line="400" w:lineRule="exact"/>
              <w:rPr>
                <w:rFonts w:ascii="宋体" w:cs="宋体"/>
                <w:color w:val="000000"/>
                <w:szCs w:val="21"/>
              </w:rPr>
            </w:pPr>
            <w:r>
              <w:rPr>
                <w:rFonts w:ascii="宋体" w:cs="宋体" w:hint="eastAsia"/>
                <w:color w:val="000000"/>
                <w:szCs w:val="21"/>
              </w:rPr>
              <w:t>6. 成交供应商能响应故障处理请求和电话咨询，提供7×24小时技术支持，4小时内响应和24小时内提出解决方案，一般应在48小时内派人到现场维修的售后服务。成交供应商应提供维保人员名单、联系电话等。</w:t>
            </w:r>
          </w:p>
          <w:p>
            <w:pPr>
              <w:pStyle w:val="35"/>
              <w:spacing w:line="400" w:lineRule="exact"/>
              <w:rPr>
                <w:rFonts w:ascii="宋体" w:cs="宋体"/>
                <w:color w:val="000000"/>
                <w:szCs w:val="21"/>
              </w:rPr>
            </w:pPr>
            <w:r>
              <w:rPr>
                <w:rFonts w:ascii="宋体" w:cs="宋体" w:hint="eastAsia"/>
                <w:color w:val="000000"/>
                <w:szCs w:val="21"/>
              </w:rPr>
              <w:t>7.现场培训：成交供应商应以</w:t>
            </w:r>
            <w:r>
              <w:rPr>
                <w:rFonts w:ascii="宋体" w:cs="宋体" w:hint="eastAsia"/>
                <w:color w:val="000000"/>
                <w:szCs w:val="21"/>
                <w:lang w:eastAsia="zh-CN"/>
              </w:rPr>
              <w:t>至少</w:t>
            </w:r>
            <w:r>
              <w:rPr>
                <w:rFonts w:ascii="宋体" w:cs="宋体" w:hint="eastAsia"/>
                <w:color w:val="000000"/>
                <w:szCs w:val="21"/>
              </w:rPr>
              <w:t>2人次培训班及现场培训形式对操作人员进行仪器基本操作和维护知识进行的培训，保证相关人员能独立上机进行基本操作和数据处理。如采购人有因人员流动，需要进行培训，成交供应商应对采购人新增实验人员进行现场培训。</w:t>
            </w:r>
          </w:p>
        </w:tc>
      </w:tr>
      <w:tr>
        <w:trPr>
          <w:trHeight w:val="566"/>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pPr>
              <w:pStyle w:val="36"/>
              <w:spacing w:line="400" w:lineRule="exact"/>
              <w:jc w:val="center"/>
              <w:rPr>
                <w:rFonts w:ascii="宋体"/>
                <w:bCs/>
                <w:color w:val="000000"/>
                <w:szCs w:val="21"/>
              </w:rPr>
            </w:pPr>
            <w:r>
              <w:rPr>
                <w:rFonts w:ascii="宋体"/>
                <w:bCs/>
                <w:color w:val="000000"/>
                <w:szCs w:val="21"/>
              </w:rPr>
              <w:t>（八）</w:t>
            </w:r>
            <w:r>
              <w:rPr>
                <w:rFonts w:ascii="宋体" w:hint="eastAsia"/>
                <w:bCs/>
                <w:color w:val="000000"/>
                <w:szCs w:val="21"/>
              </w:rPr>
              <w:t>采购标的</w:t>
            </w:r>
          </w:p>
          <w:p>
            <w:pPr>
              <w:pStyle w:val="36"/>
              <w:spacing w:line="400" w:lineRule="exact"/>
              <w:jc w:val="center"/>
              <w:rPr>
                <w:rFonts w:ascii="宋体"/>
                <w:b/>
                <w:color w:val="000000"/>
                <w:szCs w:val="21"/>
              </w:rPr>
            </w:pPr>
            <w:r>
              <w:rPr>
                <w:rFonts w:ascii="宋体" w:hint="eastAsia"/>
                <w:bCs/>
                <w:color w:val="000000"/>
                <w:szCs w:val="21"/>
              </w:rPr>
              <w:t>验收标准</w:t>
            </w:r>
          </w:p>
        </w:tc>
        <w:tc>
          <w:tcPr>
            <w:tcW w:w="7740" w:type="dxa"/>
            <w:tcBorders>
              <w:top w:val="single" w:sz="4" w:space="0" w:color="auto"/>
              <w:left w:val="nil"/>
              <w:bottom w:val="single" w:sz="4" w:space="0" w:color="auto"/>
              <w:right w:val="single" w:sz="4" w:space="0" w:color="auto"/>
              <w:tl2br w:val="nil"/>
              <w:tr2bl w:val="nil"/>
            </w:tcBorders>
            <w:vAlign w:val="center"/>
          </w:tcPr>
          <w:p>
            <w:pPr>
              <w:pStyle w:val="37"/>
              <w:spacing w:line="400" w:lineRule="exact"/>
              <w:rPr>
                <w:rFonts w:ascii="宋体" w:cs="宋体"/>
                <w:color w:val="000000"/>
                <w:szCs w:val="21"/>
              </w:rPr>
            </w:pPr>
            <w:r>
              <w:rPr>
                <w:rFonts w:ascii="宋体" w:cs="宋体" w:hint="eastAsia"/>
                <w:color w:val="000000"/>
                <w:szCs w:val="21"/>
              </w:rPr>
              <w:t>1.如采购人需要，成交供应商须提供产品的原厂技术文件以及验收要求的校准文件或计量证书。属于中华人民共和国强制检定计量器具，成交供应商须负责提供法定计量证</w:t>
            </w:r>
            <w:r>
              <w:rPr>
                <w:rFonts w:ascii="宋体" w:cs="宋体" w:hint="eastAsia"/>
                <w:color w:val="000000"/>
                <w:spacing w:val="-1"/>
                <w:szCs w:val="21"/>
              </w:rPr>
              <w:t>书。</w:t>
            </w:r>
            <w:r>
              <w:rPr>
                <w:rFonts w:ascii="宋体" w:cs="宋体" w:hint="eastAsia"/>
                <w:color w:val="000000"/>
                <w:szCs w:val="21"/>
              </w:rPr>
              <w:t>验收过程中所产生的一切费用由成交供应商承担。</w:t>
            </w:r>
          </w:p>
          <w:p>
            <w:pPr>
              <w:pStyle w:val="37"/>
              <w:spacing w:line="400" w:lineRule="exact"/>
              <w:rPr>
                <w:rFonts w:ascii="宋体" w:cs="宋体"/>
                <w:color w:val="000000"/>
                <w:szCs w:val="21"/>
              </w:rPr>
            </w:pPr>
            <w:r>
              <w:rPr>
                <w:rFonts w:ascii="宋体" w:cs="宋体" w:hint="eastAsia"/>
                <w:color w:val="000000"/>
                <w:szCs w:val="21"/>
              </w:rPr>
              <w:t>2. 成交供应商的设备供货、安装施工、调试、</w:t>
            </w:r>
            <w:r>
              <w:rPr>
                <w:rFonts w:ascii="宋体" w:hint="eastAsia"/>
                <w:color w:val="000000"/>
                <w:szCs w:val="21"/>
              </w:rPr>
              <w:t>装机验收</w:t>
            </w:r>
            <w:r>
              <w:rPr>
                <w:rFonts w:ascii="宋体" w:cs="宋体" w:hint="eastAsia"/>
                <w:color w:val="000000"/>
                <w:szCs w:val="21"/>
              </w:rPr>
              <w:t>、货物运输、售后服务等均应符合国家相关法律、法规以及国家标准、相关行业标准。成交供应商提供设备的制造标准、安装标准及技术规范等有关资料必须符合国家相应的有关标准、规范要求。</w:t>
            </w:r>
          </w:p>
          <w:p>
            <w:pPr>
              <w:pStyle w:val="37"/>
              <w:spacing w:line="400" w:lineRule="exact"/>
              <w:rPr>
                <w:rFonts w:ascii="宋体" w:cs="宋体"/>
                <w:color w:val="000000"/>
                <w:spacing w:val="2"/>
                <w:szCs w:val="21"/>
              </w:rPr>
            </w:pPr>
            <w:r>
              <w:rPr>
                <w:rFonts w:ascii="宋体" w:cs="宋体" w:hint="eastAsia"/>
                <w:color w:val="000000"/>
                <w:szCs w:val="21"/>
              </w:rPr>
              <w:t>3. 成交供应商应向采购人提供完整的设备技术资料、货物制造商的出厂检验报告、合格证书、产品保证书、认证书、及政府许可证明、说明书等，保证产品和安装材料是新生产、未经过使用的原装原厂正品。如在交付使用前发生设备损坏和不合格，采购人有</w:t>
            </w:r>
            <w:r>
              <w:rPr>
                <w:rFonts w:ascii="宋体" w:cs="宋体" w:hint="eastAsia"/>
                <w:color w:val="000000"/>
                <w:spacing w:val="2"/>
                <w:szCs w:val="21"/>
              </w:rPr>
              <w:t>权要求退货，因此造成的一切损失由供应商承担。</w:t>
            </w:r>
          </w:p>
          <w:p>
            <w:pPr>
              <w:pStyle w:val="37"/>
              <w:spacing w:line="400" w:lineRule="exact"/>
              <w:rPr>
                <w:rFonts w:ascii="宋体" w:cs="宋体"/>
                <w:color w:val="000000"/>
                <w:spacing w:val="1"/>
                <w:szCs w:val="21"/>
              </w:rPr>
            </w:pPr>
            <w:r>
              <w:rPr>
                <w:rFonts w:ascii="宋体" w:cs="宋体" w:hint="eastAsia"/>
                <w:color w:val="000000"/>
                <w:spacing w:val="2"/>
                <w:szCs w:val="21"/>
              </w:rPr>
              <w:t>4.</w:t>
            </w:r>
            <w:r>
              <w:rPr>
                <w:rFonts w:ascii="宋体" w:cs="宋体" w:hint="eastAsia"/>
                <w:color w:val="000000"/>
                <w:szCs w:val="21"/>
              </w:rPr>
              <w:t xml:space="preserve"> 成交</w:t>
            </w:r>
            <w:r>
              <w:rPr>
                <w:rFonts w:ascii="宋体" w:cs="宋体" w:hint="eastAsia"/>
                <w:color w:val="000000"/>
                <w:spacing w:val="2"/>
                <w:szCs w:val="21"/>
              </w:rPr>
              <w:t>供应商根据合同要求进行系统安装、调试后，由</w:t>
            </w:r>
            <w:r>
              <w:rPr>
                <w:rFonts w:ascii="宋体" w:cs="宋体" w:hint="eastAsia"/>
                <w:color w:val="000000"/>
                <w:szCs w:val="21"/>
              </w:rPr>
              <w:t>采购人</w:t>
            </w:r>
            <w:r>
              <w:rPr>
                <w:rFonts w:ascii="宋体" w:cs="宋体" w:hint="eastAsia"/>
                <w:color w:val="000000"/>
                <w:spacing w:val="2"/>
                <w:szCs w:val="21"/>
              </w:rPr>
              <w:t>进行使用性能方面的验收，确保在使用过程内具有满意的性能。如</w:t>
            </w:r>
            <w:r>
              <w:rPr>
                <w:rFonts w:ascii="宋体" w:cs="宋体" w:hint="eastAsia"/>
                <w:color w:val="000000"/>
                <w:spacing w:val="1"/>
                <w:szCs w:val="21"/>
              </w:rPr>
              <w:t>质量不符合要求，</w:t>
            </w:r>
            <w:r>
              <w:rPr>
                <w:rFonts w:ascii="宋体" w:cs="宋体" w:hint="eastAsia"/>
                <w:color w:val="000000"/>
                <w:szCs w:val="21"/>
              </w:rPr>
              <w:t>成交</w:t>
            </w:r>
            <w:r>
              <w:rPr>
                <w:rFonts w:ascii="宋体" w:hint="eastAsia"/>
                <w:color w:val="000000"/>
                <w:szCs w:val="21"/>
              </w:rPr>
              <w:t>供应商应无条件在规定时间内进行更换并不得以任何原因拖延</w:t>
            </w:r>
            <w:r>
              <w:rPr>
                <w:rFonts w:ascii="宋体" w:cs="宋体" w:hint="eastAsia"/>
                <w:color w:val="000000"/>
                <w:spacing w:val="1"/>
                <w:szCs w:val="21"/>
              </w:rPr>
              <w:t>。</w:t>
            </w:r>
          </w:p>
          <w:p>
            <w:pPr>
              <w:pStyle w:val="37"/>
              <w:spacing w:line="400" w:lineRule="exact"/>
              <w:rPr>
                <w:rFonts w:ascii="宋体" w:cs="宋体"/>
                <w:color w:val="000000"/>
                <w:szCs w:val="21"/>
              </w:rPr>
            </w:pPr>
            <w:r>
              <w:rPr>
                <w:rFonts w:ascii="宋体" w:cs="宋体" w:hint="eastAsia"/>
                <w:color w:val="000000"/>
                <w:szCs w:val="21"/>
              </w:rPr>
              <w:t>5.采购人</w:t>
            </w:r>
            <w:r>
              <w:rPr>
                <w:rFonts w:ascii="宋体" w:cs="宋体" w:hint="eastAsia"/>
                <w:color w:val="000000"/>
                <w:spacing w:val="1"/>
                <w:szCs w:val="21"/>
              </w:rPr>
              <w:t>根据采购</w:t>
            </w:r>
            <w:r>
              <w:rPr>
                <w:rFonts w:ascii="宋体" w:cs="宋体" w:hint="eastAsia"/>
                <w:color w:val="000000"/>
                <w:szCs w:val="21"/>
              </w:rPr>
              <w:t>文件、成交供应商的响应文件、合同、制造厂商的产品验收标准及中华人民共和国有关标准进行验收。采购人有权委托</w:t>
            </w:r>
            <w:r>
              <w:rPr>
                <w:rFonts w:ascii="宋体" w:hint="eastAsia"/>
                <w:color w:val="000000"/>
                <w:szCs w:val="21"/>
              </w:rPr>
              <w:t>第三方专业机构</w:t>
            </w:r>
            <w:r>
              <w:rPr>
                <w:rFonts w:ascii="宋体" w:cs="宋体" w:hint="eastAsia"/>
                <w:color w:val="000000"/>
                <w:szCs w:val="21"/>
              </w:rPr>
              <w:t>对设备的灵敏度、测</w:t>
            </w:r>
            <w:r>
              <w:rPr>
                <w:rFonts w:ascii="宋体" w:cs="宋体" w:hint="eastAsia"/>
                <w:color w:val="000000"/>
                <w:spacing w:val="-1"/>
                <w:szCs w:val="21"/>
              </w:rPr>
              <w:t>量精度等技术性能进</w:t>
            </w:r>
            <w:r>
              <w:rPr>
                <w:rFonts w:ascii="宋体" w:cs="宋体" w:hint="eastAsia"/>
                <w:color w:val="000000"/>
                <w:szCs w:val="21"/>
              </w:rPr>
              <w:t>行验收。因成交供应商所提供的产品未达到采购文件中技术性能指标的，</w:t>
            </w:r>
            <w:r>
              <w:rPr>
                <w:rFonts w:ascii="宋体" w:hint="eastAsia"/>
                <w:color w:val="000000"/>
                <w:szCs w:val="21"/>
              </w:rPr>
              <w:t>采购人有权要求退换货，采购方有权因此不予验收，</w:t>
            </w:r>
            <w:r>
              <w:rPr>
                <w:rFonts w:ascii="宋体" w:cs="宋体" w:hint="eastAsia"/>
                <w:color w:val="000000"/>
                <w:szCs w:val="21"/>
              </w:rPr>
              <w:t>成交</w:t>
            </w:r>
            <w:r>
              <w:rPr>
                <w:rFonts w:ascii="宋体" w:hint="eastAsia"/>
                <w:color w:val="000000"/>
                <w:szCs w:val="21"/>
              </w:rPr>
              <w:t>方将自行承担所有经济损失。</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38"/>
              <w:spacing w:line="400" w:lineRule="exact"/>
              <w:rPr>
                <w:rFonts w:ascii="宋体"/>
                <w:b/>
                <w:color w:val="000000"/>
                <w:szCs w:val="21"/>
              </w:rPr>
            </w:pPr>
            <w:r>
              <w:rPr>
                <w:rFonts w:ascii="宋体"/>
                <w:b/>
                <w:bCs/>
                <w:color w:val="000000"/>
                <w:szCs w:val="21"/>
              </w:rPr>
              <w:t>四、</w:t>
            </w:r>
            <w:r>
              <w:rPr>
                <w:rFonts w:ascii="宋体" w:hint="eastAsia"/>
                <w:b/>
                <w:bCs/>
                <w:color w:val="000000"/>
                <w:szCs w:val="21"/>
              </w:rPr>
              <w:t>与实现项目目标相关的其他要求</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39"/>
              <w:spacing w:line="400" w:lineRule="exact"/>
              <w:rPr>
                <w:rFonts w:ascii="宋体"/>
                <w:b/>
                <w:color w:val="000000"/>
                <w:szCs w:val="21"/>
              </w:rPr>
            </w:pPr>
            <w:r>
              <w:rPr>
                <w:rFonts w:ascii="宋体"/>
                <w:b/>
                <w:color w:val="000000"/>
                <w:szCs w:val="21"/>
              </w:rPr>
              <w:t>（一）</w:t>
            </w:r>
            <w:r>
              <w:rPr>
                <w:rFonts w:ascii="宋体" w:hint="eastAsia"/>
                <w:b/>
                <w:color w:val="000000"/>
                <w:szCs w:val="21"/>
              </w:rPr>
              <w:t>响应供应商的履约能力要求</w:t>
            </w:r>
          </w:p>
        </w:tc>
      </w:tr>
      <w:tr>
        <w:trPr>
          <w:trHeight w:val="566"/>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pPr>
              <w:pStyle w:val="40"/>
              <w:spacing w:line="400" w:lineRule="exact"/>
              <w:jc w:val="center"/>
              <w:rPr>
                <w:rFonts w:ascii="宋体"/>
                <w:color w:val="000000"/>
                <w:szCs w:val="21"/>
              </w:rPr>
            </w:pPr>
            <w:r>
              <w:rPr>
                <w:rFonts w:ascii="宋体" w:hint="eastAsia"/>
                <w:color w:val="000000"/>
                <w:szCs w:val="21"/>
              </w:rPr>
              <w:t>管理体系要求</w:t>
            </w:r>
          </w:p>
        </w:tc>
        <w:tc>
          <w:tcPr>
            <w:tcW w:w="7740" w:type="dxa"/>
            <w:tcBorders>
              <w:top w:val="single" w:sz="4" w:space="0" w:color="auto"/>
              <w:left w:val="nil"/>
              <w:bottom w:val="single" w:sz="4" w:space="0" w:color="auto"/>
              <w:right w:val="single" w:sz="4" w:space="0" w:color="auto"/>
              <w:tl2br w:val="nil"/>
              <w:tr2bl w:val="nil"/>
            </w:tcBorders>
            <w:vAlign w:val="center"/>
          </w:tcPr>
          <w:p>
            <w:pPr>
              <w:pStyle w:val="41"/>
              <w:spacing w:line="400" w:lineRule="exact"/>
              <w:rPr>
                <w:rFonts w:ascii="宋体"/>
                <w:color w:val="000000"/>
                <w:szCs w:val="21"/>
              </w:rPr>
            </w:pPr>
            <w:r>
              <w:rPr>
                <w:rFonts w:ascii="宋体" w:hint="eastAsia"/>
                <w:color w:val="000000"/>
                <w:szCs w:val="21"/>
              </w:rPr>
              <w:t>详见采购文件“评审办法及评分标准”。</w:t>
            </w:r>
          </w:p>
        </w:tc>
      </w:tr>
      <w:tr>
        <w:trPr>
          <w:trHeight w:val="566"/>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pPr>
              <w:pStyle w:val="42"/>
              <w:spacing w:line="400" w:lineRule="exact"/>
              <w:jc w:val="center"/>
              <w:rPr>
                <w:rFonts w:ascii="宋体"/>
                <w:color w:val="000000"/>
                <w:szCs w:val="21"/>
              </w:rPr>
            </w:pPr>
            <w:r>
              <w:rPr>
                <w:rFonts w:ascii="宋体" w:hint="eastAsia"/>
                <w:color w:val="000000"/>
                <w:szCs w:val="21"/>
              </w:rPr>
              <w:t>业绩要求</w:t>
            </w:r>
          </w:p>
        </w:tc>
        <w:tc>
          <w:tcPr>
            <w:tcW w:w="7740" w:type="dxa"/>
            <w:tcBorders>
              <w:top w:val="single" w:sz="4" w:space="0" w:color="auto"/>
              <w:left w:val="nil"/>
              <w:bottom w:val="single" w:sz="4" w:space="0" w:color="auto"/>
              <w:right w:val="single" w:sz="4" w:space="0" w:color="auto"/>
              <w:tl2br w:val="nil"/>
              <w:tr2bl w:val="nil"/>
            </w:tcBorders>
            <w:vAlign w:val="center"/>
          </w:tcPr>
          <w:p>
            <w:pPr>
              <w:pStyle w:val="43"/>
              <w:spacing w:line="400" w:lineRule="exact"/>
              <w:rPr>
                <w:rFonts w:ascii="宋体"/>
                <w:color w:val="000000"/>
                <w:szCs w:val="21"/>
              </w:rPr>
            </w:pPr>
            <w:r>
              <w:rPr>
                <w:rFonts w:ascii="宋体" w:hint="eastAsia"/>
                <w:color w:val="000000"/>
                <w:szCs w:val="21"/>
              </w:rPr>
              <w:t>详见采购文件“评审办法及评分标准”。</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44"/>
              <w:spacing w:line="400" w:lineRule="exact"/>
              <w:rPr>
                <w:rFonts w:ascii="宋体"/>
                <w:b/>
                <w:color w:val="000000"/>
                <w:szCs w:val="21"/>
              </w:rPr>
            </w:pPr>
            <w:r>
              <w:rPr>
                <w:rFonts w:ascii="宋体"/>
                <w:b/>
                <w:color w:val="000000"/>
                <w:szCs w:val="21"/>
              </w:rPr>
              <w:t>（二）</w:t>
            </w:r>
            <w:r>
              <w:rPr>
                <w:rFonts w:ascii="宋体" w:hint="eastAsia"/>
                <w:b/>
                <w:color w:val="000000"/>
                <w:szCs w:val="21"/>
              </w:rPr>
              <w:t>政策性加分条件</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45"/>
              <w:spacing w:line="400" w:lineRule="exact"/>
              <w:rPr>
                <w:rFonts w:ascii="宋体"/>
                <w:i/>
                <w:iCs/>
                <w:color w:val="000000"/>
                <w:szCs w:val="21"/>
              </w:rPr>
            </w:pPr>
            <w:r>
              <w:rPr>
                <w:rFonts w:ascii="宋体" w:hint="eastAsia"/>
                <w:color w:val="000000"/>
                <w:szCs w:val="21"/>
              </w:rPr>
              <w:t>符合节能环保等国家政策要求，详见采购文件“评审办法及评分标准”。</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46"/>
              <w:spacing w:line="400" w:lineRule="exact"/>
              <w:rPr>
                <w:rFonts w:ascii="宋体"/>
                <w:color w:val="000000"/>
                <w:szCs w:val="21"/>
              </w:rPr>
            </w:pPr>
            <w:r>
              <w:rPr>
                <w:rFonts w:ascii="宋体"/>
                <w:b/>
                <w:color w:val="000000"/>
                <w:szCs w:val="21"/>
              </w:rPr>
              <w:t>（三）</w:t>
            </w:r>
            <w:r>
              <w:rPr>
                <w:rFonts w:ascii="宋体" w:hint="eastAsia"/>
                <w:b/>
                <w:color w:val="000000"/>
                <w:szCs w:val="21"/>
              </w:rPr>
              <w:t>进口产品说明</w:t>
            </w:r>
          </w:p>
        </w:tc>
      </w:tr>
      <w:tr>
        <w:trPr>
          <w:trHeight w:val="566"/>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pPr>
              <w:pStyle w:val="47"/>
              <w:spacing w:line="400" w:lineRule="exact"/>
              <w:jc w:val="center"/>
              <w:rPr>
                <w:rFonts w:ascii="宋体"/>
                <w:color w:val="000000"/>
                <w:szCs w:val="21"/>
              </w:rPr>
            </w:pPr>
            <w:r>
              <w:rPr>
                <w:rFonts w:ascii="宋体" w:hint="eastAsia"/>
                <w:color w:val="000000"/>
                <w:szCs w:val="21"/>
              </w:rPr>
              <w:t>进口产品说明</w:t>
            </w:r>
          </w:p>
        </w:tc>
        <w:tc>
          <w:tcPr>
            <w:tcW w:w="7740" w:type="dxa"/>
            <w:tcBorders>
              <w:top w:val="single" w:sz="4" w:space="0" w:color="auto"/>
              <w:left w:val="nil"/>
              <w:bottom w:val="single" w:sz="4" w:space="0" w:color="auto"/>
              <w:right w:val="single" w:sz="4" w:space="0" w:color="auto"/>
              <w:tl2br w:val="nil"/>
              <w:tr2bl w:val="nil"/>
            </w:tcBorders>
            <w:vAlign w:val="center"/>
          </w:tcPr>
          <w:p>
            <w:pPr>
              <w:pStyle w:val="48"/>
              <w:spacing w:line="400" w:lineRule="exact"/>
              <w:ind w:firstLineChars="200" w:firstLine="420"/>
              <w:rPr>
                <w:rFonts w:ascii="宋体"/>
                <w:b/>
                <w:color w:val="000000"/>
                <w:szCs w:val="21"/>
              </w:rPr>
            </w:pPr>
            <w:r>
              <w:rPr>
                <w:rFonts w:ascii="宋体" w:hint="eastAsia"/>
                <w:color w:val="000000"/>
                <w:szCs w:val="21"/>
              </w:rPr>
              <w:t>□本项目货物已按规定办妥进口产品采购审核手续，响应产品可选用进口产品；但如选用进口产品时必须为全套原装进口产品（即通过中国海关报关验放进入中国境内且产自关境外的产品），同时参与协商供应商必须负责办理进口产品所有相关手续并承担所有费用。优先采购向我国企业转让技术、与我国企业签订消化吸收再创新方案的供应商的进口产品。其他货物不接受进口产品参与协商，</w:t>
            </w:r>
            <w:r>
              <w:rPr>
                <w:rFonts w:ascii="宋体" w:hint="eastAsia"/>
                <w:b/>
                <w:color w:val="000000"/>
                <w:szCs w:val="21"/>
              </w:rPr>
              <w:t>否则作无效响应处理。</w:t>
            </w:r>
          </w:p>
          <w:p>
            <w:pPr>
              <w:pStyle w:val="48"/>
              <w:spacing w:line="400" w:lineRule="exact"/>
              <w:ind w:firstLineChars="200" w:firstLine="420"/>
              <w:rPr>
                <w:rFonts w:ascii="宋体"/>
                <w:color w:val="000000"/>
                <w:szCs w:val="21"/>
              </w:rPr>
            </w:pPr>
            <w:r>
              <w:rPr>
                <w:rFonts w:ascii="Segoe UI Symbol" w:cs="Segoe UI Symbol" w:hAnsi="Segoe UI Symbol"/>
                <w:color w:val="000000"/>
                <w:szCs w:val="21"/>
              </w:rPr>
              <w:sym w:font="Wingdings 2" w:char="F052"/>
            </w:r>
            <w:r>
              <w:rPr>
                <w:rFonts w:ascii="宋体" w:hint="eastAsia"/>
                <w:color w:val="000000"/>
                <w:szCs w:val="21"/>
              </w:rPr>
              <w:t>本项目货</w:t>
            </w:r>
            <w:r>
              <w:rPr>
                <w:rFonts w:ascii="宋体" w:hint="eastAsia"/>
                <w:color w:val="000000"/>
                <w:szCs w:val="21"/>
                <w:highlight w:val="auto"/>
              </w:rPr>
              <w:t>物不接受进口</w:t>
            </w:r>
            <w:r>
              <w:rPr>
                <w:rFonts w:ascii="宋体" w:hint="eastAsia"/>
                <w:color w:val="000000"/>
                <w:szCs w:val="21"/>
              </w:rPr>
              <w:t>产品（即通过中国海关报关验放进入中国境内且产自关境外的产品）参与协商，</w:t>
            </w:r>
            <w:r>
              <w:rPr>
                <w:rFonts w:ascii="宋体" w:hint="eastAsia"/>
                <w:b/>
                <w:color w:val="000000"/>
                <w:szCs w:val="21"/>
              </w:rPr>
              <w:t>如有进口产品参与协商的作无效响应处理</w:t>
            </w:r>
            <w:r>
              <w:rPr>
                <w:rFonts w:ascii="宋体" w:hint="eastAsia"/>
                <w:color w:val="000000"/>
                <w:szCs w:val="21"/>
              </w:rPr>
              <w:t>。</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49"/>
              <w:spacing w:line="400" w:lineRule="exact"/>
              <w:rPr>
                <w:rFonts w:ascii="宋体"/>
                <w:color w:val="000000"/>
                <w:szCs w:val="21"/>
              </w:rPr>
            </w:pPr>
            <w:r>
              <w:rPr>
                <w:rFonts w:ascii="宋体"/>
                <w:b/>
                <w:bCs/>
                <w:color w:val="000000"/>
                <w:szCs w:val="21"/>
              </w:rPr>
              <w:t>（四）</w:t>
            </w:r>
            <w:r>
              <w:rPr>
                <w:rFonts w:ascii="宋体" w:hint="eastAsia"/>
                <w:b/>
                <w:bCs/>
                <w:color w:val="000000"/>
                <w:szCs w:val="21"/>
              </w:rPr>
              <w:t>核心产品</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50"/>
              <w:spacing w:line="400" w:lineRule="exact"/>
              <w:rPr>
                <w:rFonts w:ascii="宋体"/>
                <w:b/>
                <w:bCs/>
                <w:color w:val="000000"/>
                <w:szCs w:val="21"/>
              </w:rPr>
            </w:pPr>
            <w:r>
              <w:rPr>
                <w:rFonts w:ascii="宋体" w:hint="eastAsia"/>
                <w:b/>
                <w:bCs/>
                <w:color w:val="000000"/>
                <w:szCs w:val="21"/>
              </w:rPr>
              <w:t>核心产品：</w:t>
            </w:r>
            <w:r>
              <w:rPr>
                <w:rFonts w:ascii="宋体" w:hint="eastAsia"/>
                <w:color w:val="000000"/>
                <w:szCs w:val="21"/>
              </w:rPr>
              <w:t>本项目</w:t>
            </w:r>
            <w:r>
              <w:rPr>
                <w:rFonts w:ascii="宋体"/>
                <w:color w:val="000000"/>
                <w:szCs w:val="21"/>
              </w:rPr>
              <w:t>纯水机、低速大容量离心机两个</w:t>
            </w:r>
            <w:r>
              <w:rPr>
                <w:rFonts w:ascii="宋体" w:hint="eastAsia"/>
                <w:color w:val="000000"/>
                <w:szCs w:val="21"/>
              </w:rPr>
              <w:t>货物</w:t>
            </w:r>
            <w:r>
              <w:rPr>
                <w:rFonts w:ascii="宋体"/>
                <w:color w:val="000000"/>
                <w:szCs w:val="21"/>
              </w:rPr>
              <w:t>均</w:t>
            </w:r>
            <w:r>
              <w:rPr>
                <w:rFonts w:ascii="宋体" w:hint="eastAsia"/>
                <w:color w:val="000000"/>
                <w:szCs w:val="21"/>
              </w:rPr>
              <w:t>为核心产品。</w:t>
            </w:r>
          </w:p>
          <w:p>
            <w:pPr>
              <w:pStyle w:val="50"/>
              <w:spacing w:line="400" w:lineRule="exact"/>
              <w:rPr>
                <w:rFonts w:ascii="宋体"/>
                <w:color w:val="000000"/>
                <w:szCs w:val="21"/>
              </w:rPr>
            </w:pPr>
            <w:r>
              <w:rPr>
                <w:rFonts w:ascii="宋体" w:hint="eastAsia"/>
                <w:color w:val="000000"/>
                <w:szCs w:val="21"/>
              </w:rPr>
              <w:t>提供相同品牌产品且通过资格审查、符合性审查的不同供应商参加同一合同项下协商的，按一家供应商计算，评审后得分最高的同品牌供应商获得成交供应商推荐资格；评审得分相同的，由采购人或者采购人委托评审小组按照采购文件规定的方式确定一个供应商获得成交供应商推荐资格，采购文件未规定的采取随机抽取方式确定，其他同品牌供应商不作为成交候选人。</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51"/>
              <w:spacing w:line="400" w:lineRule="exact"/>
              <w:rPr>
                <w:rFonts w:ascii="宋体"/>
                <w:b/>
                <w:bCs/>
                <w:color w:val="000000"/>
                <w:szCs w:val="21"/>
              </w:rPr>
            </w:pPr>
            <w:r>
              <w:rPr>
                <w:rFonts w:ascii="宋体"/>
                <w:b/>
                <w:bCs/>
                <w:color w:val="000000"/>
                <w:szCs w:val="21"/>
              </w:rPr>
              <w:t>（五）</w:t>
            </w:r>
            <w:r>
              <w:rPr>
                <w:rFonts w:ascii="宋体" w:hint="eastAsia"/>
                <w:b/>
                <w:bCs/>
                <w:color w:val="000000"/>
                <w:szCs w:val="21"/>
              </w:rPr>
              <w:t>知识产权</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52"/>
              <w:spacing w:line="400" w:lineRule="exact"/>
              <w:rPr>
                <w:rFonts w:ascii="宋体"/>
                <w:bCs/>
                <w:color w:val="000000"/>
                <w:szCs w:val="21"/>
              </w:rPr>
            </w:pPr>
            <w:r>
              <w:rPr>
                <w:rFonts w:ascii="宋体" w:hint="eastAsia"/>
                <w:bCs/>
                <w:color w:val="000000"/>
                <w:szCs w:val="21"/>
              </w:rPr>
              <w:t>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53"/>
              <w:spacing w:line="400" w:lineRule="exact"/>
              <w:rPr>
                <w:rFonts w:ascii="宋体"/>
                <w:bCs/>
                <w:color w:val="000000"/>
                <w:szCs w:val="21"/>
              </w:rPr>
            </w:pPr>
            <w:r>
              <w:rPr>
                <w:rFonts w:ascii="宋体"/>
                <w:b/>
                <w:bCs/>
                <w:color w:val="000000"/>
                <w:szCs w:val="21"/>
              </w:rPr>
              <w:t>（六）</w:t>
            </w:r>
            <w:r>
              <w:rPr>
                <w:rFonts w:ascii="宋体" w:hint="eastAsia"/>
                <w:b/>
                <w:bCs/>
                <w:color w:val="000000"/>
                <w:szCs w:val="21"/>
              </w:rPr>
              <w:t>规范标准</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54"/>
              <w:spacing w:line="400" w:lineRule="exact"/>
              <w:rPr>
                <w:rFonts w:ascii="宋体"/>
                <w:bCs/>
                <w:color w:val="000000"/>
                <w:szCs w:val="21"/>
              </w:rPr>
            </w:pPr>
            <w:r>
              <w:rPr>
                <w:rFonts w:ascii="宋体" w:hint="eastAsia"/>
                <w:bCs/>
                <w:color w:val="000000"/>
                <w:szCs w:val="21"/>
              </w:rPr>
              <w:t>采购标的需执行的国家标准、行业标准、地方标准或者其他标准、规范。</w:t>
            </w:r>
          </w:p>
          <w:p>
            <w:pPr>
              <w:pStyle w:val="54"/>
              <w:spacing w:line="400" w:lineRule="exact"/>
              <w:rPr>
                <w:rFonts w:ascii="宋体"/>
                <w:bCs/>
                <w:color w:val="000000"/>
                <w:szCs w:val="21"/>
              </w:rPr>
            </w:pPr>
            <w:r>
              <w:rPr>
                <w:rFonts w:ascii="宋体" w:hint="eastAsia"/>
                <w:bCs/>
                <w:color w:val="000000"/>
                <w:szCs w:val="21"/>
              </w:rPr>
              <w:t>涉及医疗器械产品，应按国家药监局相关规定，提供相关医疗器械注册证或备案证。</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55"/>
              <w:spacing w:line="400" w:lineRule="exact"/>
              <w:rPr>
                <w:rFonts w:ascii="宋体"/>
                <w:color w:val="000000"/>
                <w:szCs w:val="21"/>
              </w:rPr>
            </w:pPr>
            <w:r>
              <w:rPr>
                <w:rFonts w:ascii="宋体"/>
                <w:b/>
                <w:color w:val="000000"/>
                <w:szCs w:val="21"/>
              </w:rPr>
              <w:t>五、</w:t>
            </w:r>
            <w:r>
              <w:rPr>
                <w:rFonts w:ascii="宋体" w:hint="eastAsia"/>
                <w:b/>
                <w:color w:val="000000"/>
                <w:szCs w:val="21"/>
              </w:rPr>
              <w:t>其他要求</w:t>
            </w:r>
          </w:p>
        </w:tc>
      </w:tr>
      <w:tr>
        <w:trPr>
          <w:trHeight w:val="566"/>
        </w:trPr>
        <w:tc>
          <w:tcPr>
            <w:tcW w:w="9578" w:type="dxa"/>
            <w:gridSpan w:val="2"/>
            <w:tcBorders>
              <w:top w:val="single" w:sz="4" w:space="0" w:color="auto"/>
              <w:left w:val="single" w:sz="4" w:space="0" w:color="auto"/>
              <w:bottom w:val="single" w:sz="4" w:space="0" w:color="auto"/>
              <w:right w:val="single" w:sz="4" w:space="0" w:color="auto"/>
              <w:tl2br w:val="nil"/>
              <w:tr2bl w:val="nil"/>
            </w:tcBorders>
            <w:vAlign w:val="center"/>
          </w:tcPr>
          <w:p>
            <w:pPr>
              <w:pStyle w:val="56"/>
              <w:spacing w:line="400" w:lineRule="exact"/>
              <w:rPr>
                <w:rFonts w:ascii="宋体"/>
                <w:color w:val="000000"/>
                <w:szCs w:val="21"/>
              </w:rPr>
            </w:pPr>
            <w:r>
              <w:rPr>
                <w:rFonts w:ascii="宋体" w:cs="宋体"/>
                <w:color w:val="000000"/>
                <w:szCs w:val="21"/>
              </w:rPr>
              <w:t>1.</w:t>
            </w:r>
            <w:r>
              <w:rPr>
                <w:rFonts w:ascii="宋体" w:cs="宋体" w:hint="eastAsia"/>
                <w:color w:val="000000"/>
                <w:szCs w:val="21"/>
              </w:rPr>
              <w:t>在正常安装、使用过程中，凡是因产品质量问题所造成采购人损失的，成交供应商负责赔偿采购人的一切经济损失。</w:t>
            </w:r>
          </w:p>
          <w:p>
            <w:pPr>
              <w:pStyle w:val="56"/>
              <w:spacing w:line="400" w:lineRule="exact"/>
              <w:rPr>
                <w:rFonts w:ascii="宋体"/>
                <w:color w:val="000000"/>
                <w:szCs w:val="21"/>
              </w:rPr>
            </w:pPr>
            <w:r>
              <w:rPr>
                <w:rFonts w:ascii="宋体"/>
                <w:color w:val="000000"/>
                <w:szCs w:val="21"/>
              </w:rPr>
              <w:t>2.</w:t>
            </w:r>
            <w:r>
              <w:rPr>
                <w:rFonts w:ascii="宋体" w:hint="eastAsia"/>
                <w:color w:val="000000"/>
                <w:szCs w:val="21"/>
              </w:rPr>
              <w:t>供应商可根据采购文件及评分办法的要求，在响应文件中提供技术及项目实施方案、售后服务承诺、培训方案等。</w:t>
            </w:r>
          </w:p>
          <w:p>
            <w:pPr>
              <w:pStyle w:val="56"/>
              <w:spacing w:line="400" w:lineRule="exact"/>
              <w:rPr>
                <w:rFonts w:ascii="宋体"/>
                <w:color w:val="000000"/>
                <w:szCs w:val="21"/>
              </w:rPr>
            </w:pPr>
            <w:r>
              <w:rPr>
                <w:rFonts w:ascii="宋体"/>
                <w:color w:val="000000"/>
                <w:szCs w:val="21"/>
              </w:rPr>
              <w:t>3.</w:t>
            </w:r>
            <w:r>
              <w:rPr>
                <w:rFonts w:ascii="宋体" w:hint="eastAsia"/>
                <w:color w:val="000000"/>
                <w:szCs w:val="21"/>
              </w:rPr>
              <w:t>成交供应商应遵守现场的一切规章制度，应自行负责安装调试现场的安全管理，安全、文明安装和调试。</w:t>
            </w:r>
          </w:p>
          <w:p>
            <w:pPr>
              <w:pStyle w:val="56"/>
              <w:spacing w:line="400" w:lineRule="exact"/>
              <w:rPr>
                <w:rFonts w:ascii="宋体"/>
                <w:color w:val="auto"/>
                <w:szCs w:val="21"/>
              </w:rPr>
            </w:pPr>
            <w:r>
              <w:rPr>
                <w:rFonts w:ascii="宋体"/>
                <w:color w:val="000000"/>
                <w:szCs w:val="21"/>
              </w:rPr>
              <w:t>4.</w:t>
            </w:r>
            <w:r>
              <w:rPr>
                <w:rFonts w:ascii="宋体" w:hint="eastAsia"/>
                <w:color w:val="000000"/>
                <w:szCs w:val="21"/>
              </w:rPr>
              <w:t>标</w:t>
            </w:r>
            <w:r>
              <w:rPr>
                <w:rFonts w:ascii="宋体" w:hint="eastAsia"/>
                <w:color w:val="auto"/>
                <w:szCs w:val="21"/>
              </w:rPr>
              <w:t>注“</w:t>
            </w:r>
            <w:r>
              <w:rPr>
                <w:rFonts w:ascii="仿宋_GB2312" w:eastAsia="仿宋_GB2312" w:hint="eastAsia"/>
                <w:color w:val="auto"/>
                <w:lang w:eastAsia="zh-CN"/>
              </w:rPr>
              <w:t>★</w:t>
            </w:r>
            <w:r>
              <w:rPr>
                <w:rFonts w:ascii="宋体" w:hint="eastAsia"/>
                <w:color w:val="auto"/>
                <w:szCs w:val="21"/>
              </w:rPr>
              <w:t>”的条款为关键技术参数，为必须满足内容，</w:t>
            </w:r>
            <w:r>
              <w:rPr>
                <w:rFonts w:ascii="宋体" w:hint="eastAsia"/>
                <w:color w:val="auto"/>
                <w:szCs w:val="24"/>
              </w:rPr>
              <w:t>不满足做无效响应处理</w:t>
            </w:r>
            <w:r>
              <w:rPr>
                <w:rFonts w:ascii="宋体" w:hint="eastAsia"/>
                <w:color w:val="auto"/>
                <w:szCs w:val="21"/>
              </w:rPr>
              <w:t>；标注“▲”的条款为重要技术参数；其他未标注符号的条款为一般技术参数。</w:t>
            </w:r>
          </w:p>
          <w:p>
            <w:pPr>
              <w:pStyle w:val="56"/>
              <w:spacing w:line="400" w:lineRule="exact"/>
              <w:rPr>
                <w:rFonts w:ascii="宋体"/>
                <w:color w:val="000000"/>
                <w:szCs w:val="21"/>
              </w:rPr>
            </w:pPr>
            <w:r>
              <w:rPr>
                <w:rFonts w:ascii="宋体"/>
                <w:color w:val="auto"/>
                <w:szCs w:val="21"/>
              </w:rPr>
              <w:t>5.</w:t>
            </w:r>
            <w:r>
              <w:rPr>
                <w:rFonts w:ascii="宋体" w:hint="eastAsia"/>
                <w:color w:val="auto"/>
                <w:szCs w:val="21"/>
              </w:rPr>
              <w:t>其它要求详见合同条款相关内容。</w:t>
            </w:r>
          </w:p>
        </w:tc>
      </w:tr>
      <w:tr>
        <w:trPr>
          <w:trHeight w:val="566"/>
        </w:trPr>
        <w:tc>
          <w:tcPr>
            <w:tcW w:w="9578" w:type="dxa"/>
            <w:gridSpan w:val="2"/>
            <w:tcBorders>
              <w:top w:val="single" w:sz="4" w:space="0" w:color="000000"/>
              <w:left w:val="single" w:sz="4" w:space="0" w:color="000000"/>
              <w:bottom w:val="single" w:sz="4" w:space="0" w:color="000000"/>
              <w:right w:val="single" w:sz="4" w:space="0" w:color="000000"/>
              <w:tl2br w:val="nil"/>
              <w:tr2bl w:val="nil"/>
            </w:tcBorders>
          </w:tcPr>
          <w:p>
            <w:pPr>
              <w:spacing w:line="400" w:lineRule="exact"/>
              <w:rPr>
                <w:rFonts w:ascii="宋体" w:hAnsi="宋体"/>
                <w:color w:val="000000"/>
                <w:szCs w:val="21"/>
              </w:rPr>
            </w:pPr>
          </w:p>
        </w:tc>
      </w:tr>
    </w:tbl>
    <w:p>
      <w:pPr>
        <w:widowControl/>
        <w:tabs>
          <w:tab w:val="left" w:pos="455"/>
        </w:tabs>
        <w:spacing w:line="500" w:lineRule="exact"/>
        <w:ind w:firstLineChars="2000" w:firstLine="5600"/>
        <w:jc w:val="left"/>
        <w:rPr>
          <w:rFonts w:ascii="Times New Roman" w:cs="宋体" w:hAnsi="Times New Roman" w:hint="eastAsia"/>
          <w:kern w:val="0"/>
          <w:sz w:val="28"/>
          <w:szCs w:val="28"/>
          <w:lang w:bidi="ar-SA"/>
        </w:rPr>
      </w:pPr>
    </w:p>
    <w:sectPr>
      <w:footerReference w:type="default" r:id="rId2"/>
      <w:footerReference w:type="even" r:id="rId3"/>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Wingdings 2">
    <w:panose1 w:val="05020102010507070707"/>
    <w:charset w:val="02"/>
    <w:family w:val="auto"/>
    <w:pitch w:val="variable"/>
    <w:sig w:usb0="00000000" w:usb1="00000000" w:usb2="00000000" w:usb3="00000000" w:csb0="80000000" w:csb1="00000000"/>
  </w:font>
  <w:font w:name="Courier New">
    <w:panose1 w:val="02070309020205020404"/>
    <w:charset w:val="01"/>
    <w:family w:val="modern"/>
    <w:pitch w:val="variable"/>
    <w:sig w:usb0="E0002AFF" w:usb1="C0007843" w:usb2="00000009" w:usb3="00000000" w:csb0="400001FF" w:csb1="FFFF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 w:name="方正仿宋_GBK">
    <w:altName w:val="Arial Unicode MS"/>
    <w:panose1 w:val="02000000000000000000"/>
    <w:charset w:val="86"/>
    <w:family w:val="script"/>
    <w:pitch w:val="variable"/>
    <w:sig w:usb0="00000000" w:usb1="00000000" w:usb2="00000000" w:usb3="00000000" w:csb0="00040000" w:csb1="00000000"/>
  </w:font>
  <w:font w:name="仿宋_GB2312">
    <w:altName w:val="仿宋"/>
    <w:panose1 w:val="02010609030101010101"/>
    <w:charset w:val="86"/>
    <w:family w:val="auto"/>
    <w:pitch w:val="variable"/>
    <w:sig w:usb0="00000000" w:usb1="00000000" w:usb2="00000000" w:usb3="00000000" w:csb0="00040000" w:csb1="00000000"/>
  </w:font>
  <w:font w:name="Segoe UI Symbol">
    <w:altName w:val="Vrinda"/>
    <w:panose1 w:val="020B0502040204020203"/>
    <w:charset w:val="00"/>
    <w:family w:val="swiss"/>
    <w:pitch w:val="variable"/>
    <w:sig w:usb0="8000006F" w:usb1="1200FBEF" w:usb2="0064C000" w:usb3="00000002" w:csb0="00000001" w:csb1="40000000"/>
  </w:font>
  <w:font w:name="Times New Roman">
    <w:panose1 w:val="02020603050405020304"/>
    <w:charset w:val="00"/>
    <w:family w:val="roman"/>
    <w:pitch w:val="variable"/>
    <w:sig w:usb0="20007A87" w:usb1="80000000" w:usb2="00000008" w:usb3="00000000" w:csb0="000001FF" w:csb1="00000000"/>
  </w:font>
  <w:font w:name="仿宋">
    <w:panose1 w:val="02010609060101010101"/>
    <w:charset w:val="86"/>
    <w:family w:val="modern"/>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center" w:y="1" w:anchorLock="0"/>
      <w:tabs>
        <w:tab w:val="center" w:pos="4153"/>
        <w:tab w:val="right" w:pos="8306"/>
      </w:tabs>
      <w:rPr>
        <w:rStyle w:val="16"/>
      </w:rPr>
    </w:pPr>
    <w:r>
      <w:rPr>
        <w:rStyle w:val="16"/>
      </w:rPr>
      <w:fldChar w:fldCharType="begin"/>
    </w:r>
    <w:r>
      <w:rPr>
        <w:rStyle w:val="16"/>
      </w:rPr>
      <w:instrText xml:space="preserve">PAGE  </w:instrText>
    </w:r>
    <w:r>
      <w:rPr>
        <w:rStyle w:val="16"/>
      </w:rPr>
      <w:fldChar w:fldCharType="separate"/>
    </w:r>
    <w:r>
      <w:rPr>
        <w:rStyle w:val="16"/>
        <w:lang w:val="en-US" w:eastAsia="zh-CN"/>
      </w:rPr>
      <w:t>3</w:t>
    </w:r>
    <w:r>
      <w:rPr>
        <w:rStyle w:val="16"/>
      </w:rPr>
      <w:fldChar w:fldCharType="end"/>
    </w:r>
  </w:p>
  <w:p>
    <w:pPr>
      <w:pStyle w:val="15"/>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center" w:y="1" w:anchorLock="0"/>
      <w:tabs>
        <w:tab w:val="center" w:pos="4153"/>
        <w:tab w:val="right" w:pos="8306"/>
      </w:tabs>
      <w:rPr>
        <w:rStyle w:val="16"/>
      </w:rPr>
    </w:pPr>
    <w:r>
      <w:rPr>
        <w:rStyle w:val="16"/>
      </w:rPr>
      <w:fldChar w:fldCharType="begin"/>
    </w:r>
    <w:r>
      <w:rPr>
        <w:rStyle w:val="16"/>
      </w:rPr>
      <w:instrText xml:space="preserve">PAGE  </w:instrText>
    </w:r>
    <w:r>
      <w:rPr>
        <w:rStyle w:val="16"/>
      </w:rPr>
      <w:fldChar w:fldCharType="separate"/>
    </w:r>
    <w:r>
      <w:rPr>
        <w:rStyle w:val="16"/>
      </w:rPr>
      <w:t xml:space="preserve"> </w:t>
    </w:r>
    <w:r>
      <w:rPr>
        <w:rStyle w:val="16"/>
      </w:rPr>
      <w:fldChar w:fldCharType="end"/>
    </w:r>
  </w:p>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68"/>
  <w:doNotDisplayPageBoundaries/>
  <w:bordersDoNotSurroundHeader/>
  <w:bordersDoNotSurroundFooter/>
  <w:trackRevisions/>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仿宋" w:eastAsia="仿宋" w:cs="Times New Roman"/>
      <w:kern w:val="2"/>
      <w:sz w:val="32"/>
      <w:szCs w:val="32"/>
      <w:lang w:val="en-US" w:eastAsia="zh-CN" w:bidi="ar-SA"/>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character" w:styleId="16">
    <w:name w:val="page number"/>
    <w:basedOn w:val="10"/>
  </w:style>
  <w:style w:type="character" w:styleId="17">
    <w:name w:val="Emphasis"/>
    <w:rPr>
      <w:i/>
      <w:iCs/>
    </w:rPr>
  </w:style>
  <w:style w:type="paragraph" w:customStyle="1" w:styleId="18">
    <w:name w:val="样式 10 磅"/>
    <w:pPr>
      <w:widowControl w:val="0"/>
      <w:jc w:val="both"/>
    </w:pPr>
    <w:rPr>
      <w:rFonts w:ascii="Calibri" w:eastAsia="宋体" w:cs="Arial" w:hAnsi="Calibri"/>
      <w:kern w:val="2"/>
      <w:sz w:val="21"/>
      <w:szCs w:val="24"/>
      <w:lang w:val="en-US" w:eastAsia="zh-CN" w:bidi="ar-SA"/>
    </w:rPr>
  </w:style>
  <w:style w:type="paragraph" w:customStyle="1" w:styleId="19">
    <w:name w:val="样式 1 10 磅"/>
    <w:pPr>
      <w:widowControl w:val="0"/>
      <w:jc w:val="both"/>
    </w:pPr>
    <w:rPr>
      <w:rFonts w:ascii="Calibri" w:eastAsia="宋体" w:cs="Arial" w:hAnsi="Calibri"/>
      <w:kern w:val="2"/>
      <w:sz w:val="21"/>
      <w:szCs w:val="24"/>
      <w:lang w:val="en-US" w:eastAsia="zh-CN" w:bidi="ar-SA"/>
    </w:rPr>
  </w:style>
  <w:style w:type="paragraph" w:customStyle="1" w:styleId="20">
    <w:name w:val="样式 2 10 磅"/>
    <w:pPr>
      <w:widowControl w:val="0"/>
      <w:jc w:val="both"/>
    </w:pPr>
    <w:rPr>
      <w:rFonts w:ascii="Calibri" w:eastAsia="宋体" w:cs="Arial" w:hAnsi="Calibri"/>
      <w:kern w:val="2"/>
      <w:sz w:val="21"/>
      <w:szCs w:val="24"/>
      <w:lang w:val="en-US" w:eastAsia="zh-CN" w:bidi="ar-SA"/>
    </w:rPr>
  </w:style>
  <w:style w:type="paragraph" w:customStyle="1" w:styleId="21">
    <w:name w:val="样式 3 10 磅"/>
    <w:pPr>
      <w:widowControl w:val="0"/>
      <w:jc w:val="both"/>
    </w:pPr>
    <w:rPr>
      <w:rFonts w:ascii="Calibri" w:eastAsia="宋体" w:cs="Arial" w:hAnsi="Calibri"/>
      <w:kern w:val="2"/>
      <w:sz w:val="21"/>
      <w:szCs w:val="24"/>
      <w:lang w:val="en-US" w:eastAsia="zh-CN" w:bidi="ar-SA"/>
    </w:rPr>
  </w:style>
  <w:style w:type="paragraph" w:customStyle="1" w:styleId="22">
    <w:name w:val="样式 4 10 磅"/>
    <w:pPr>
      <w:widowControl w:val="0"/>
      <w:jc w:val="both"/>
    </w:pPr>
    <w:rPr>
      <w:rFonts w:ascii="Calibri" w:eastAsia="宋体" w:cs="Arial" w:hAnsi="Calibri"/>
      <w:kern w:val="2"/>
      <w:sz w:val="21"/>
      <w:szCs w:val="24"/>
      <w:lang w:val="en-US" w:eastAsia="zh-CN" w:bidi="ar-SA"/>
    </w:rPr>
  </w:style>
  <w:style w:type="paragraph" w:customStyle="1" w:styleId="23">
    <w:name w:val="样式 5 10 磅"/>
    <w:pPr>
      <w:widowControl w:val="0"/>
      <w:jc w:val="both"/>
    </w:pPr>
    <w:rPr>
      <w:rFonts w:ascii="Calibri" w:eastAsia="宋体" w:cs="Arial" w:hAnsi="Calibri"/>
      <w:kern w:val="2"/>
      <w:sz w:val="21"/>
      <w:szCs w:val="24"/>
      <w:lang w:val="en-US" w:eastAsia="zh-CN" w:bidi="ar-SA"/>
    </w:rPr>
  </w:style>
  <w:style w:type="paragraph" w:customStyle="1" w:styleId="24">
    <w:name w:val="样式 6 10 磅"/>
    <w:pPr>
      <w:widowControl w:val="0"/>
      <w:jc w:val="both"/>
    </w:pPr>
    <w:rPr>
      <w:rFonts w:ascii="Calibri" w:eastAsia="宋体" w:cs="Arial" w:hAnsi="Calibri"/>
      <w:kern w:val="2"/>
      <w:sz w:val="21"/>
      <w:szCs w:val="24"/>
      <w:lang w:val="en-US" w:eastAsia="zh-CN" w:bidi="ar-SA"/>
    </w:rPr>
  </w:style>
  <w:style w:type="paragraph" w:customStyle="1" w:styleId="25">
    <w:name w:val="样式 7 10 磅"/>
    <w:pPr>
      <w:widowControl w:val="0"/>
      <w:jc w:val="both"/>
    </w:pPr>
    <w:rPr>
      <w:rFonts w:ascii="Calibri" w:eastAsia="宋体" w:cs="Arial" w:hAnsi="Calibri"/>
      <w:kern w:val="2"/>
      <w:sz w:val="21"/>
      <w:szCs w:val="24"/>
      <w:lang w:val="en-US" w:eastAsia="zh-CN" w:bidi="ar-SA"/>
    </w:rPr>
  </w:style>
  <w:style w:type="paragraph" w:customStyle="1" w:styleId="26">
    <w:name w:val="样式 8 10 磅"/>
    <w:pPr>
      <w:widowControl w:val="0"/>
      <w:jc w:val="both"/>
    </w:pPr>
    <w:rPr>
      <w:rFonts w:ascii="Calibri" w:eastAsia="宋体" w:cs="Arial" w:hAnsi="Calibri"/>
      <w:kern w:val="2"/>
      <w:sz w:val="21"/>
      <w:szCs w:val="24"/>
      <w:lang w:val="en-US" w:eastAsia="zh-CN" w:bidi="ar-SA"/>
    </w:rPr>
  </w:style>
  <w:style w:type="paragraph" w:customStyle="1" w:styleId="27">
    <w:name w:val="样式 9 10 磅"/>
    <w:pPr>
      <w:widowControl w:val="0"/>
      <w:jc w:val="both"/>
    </w:pPr>
    <w:rPr>
      <w:rFonts w:ascii="Calibri" w:eastAsia="宋体" w:cs="Arial" w:hAnsi="Calibri"/>
      <w:kern w:val="2"/>
      <w:sz w:val="21"/>
      <w:szCs w:val="24"/>
      <w:lang w:val="en-US" w:eastAsia="zh-CN" w:bidi="ar-SA"/>
    </w:rPr>
  </w:style>
  <w:style w:type="paragraph" w:customStyle="1" w:styleId="28">
    <w:name w:val="样式 10 10 磅"/>
    <w:pPr>
      <w:widowControl w:val="0"/>
      <w:jc w:val="both"/>
    </w:pPr>
    <w:rPr>
      <w:rFonts w:ascii="Calibri" w:eastAsia="宋体" w:cs="Arial" w:hAnsi="Calibri"/>
      <w:kern w:val="2"/>
      <w:sz w:val="21"/>
      <w:szCs w:val="24"/>
      <w:lang w:val="en-US" w:eastAsia="zh-CN" w:bidi="ar-SA"/>
    </w:rPr>
  </w:style>
  <w:style w:type="paragraph" w:customStyle="1" w:styleId="29">
    <w:name w:val="样式 11 10 磅"/>
    <w:pPr>
      <w:widowControl w:val="0"/>
      <w:jc w:val="both"/>
    </w:pPr>
    <w:rPr>
      <w:rFonts w:ascii="Calibri" w:eastAsia="宋体" w:cs="Arial" w:hAnsi="Calibri"/>
      <w:kern w:val="2"/>
      <w:sz w:val="21"/>
      <w:szCs w:val="24"/>
      <w:lang w:val="en-US" w:eastAsia="zh-CN" w:bidi="ar-SA"/>
    </w:rPr>
  </w:style>
  <w:style w:type="paragraph" w:customStyle="1" w:styleId="30">
    <w:name w:val="样式 12 10 磅"/>
    <w:pPr>
      <w:widowControl w:val="0"/>
      <w:jc w:val="both"/>
    </w:pPr>
    <w:rPr>
      <w:rFonts w:ascii="Calibri" w:eastAsia="宋体" w:cs="Arial" w:hAnsi="Calibri"/>
      <w:kern w:val="2"/>
      <w:sz w:val="21"/>
      <w:szCs w:val="24"/>
      <w:lang w:val="en-US" w:eastAsia="zh-CN" w:bidi="ar-SA"/>
    </w:rPr>
  </w:style>
  <w:style w:type="paragraph" w:customStyle="1" w:styleId="31">
    <w:name w:val="样式 13 10 磅"/>
    <w:pPr>
      <w:widowControl w:val="0"/>
      <w:jc w:val="both"/>
    </w:pPr>
    <w:rPr>
      <w:rFonts w:ascii="Calibri" w:eastAsia="宋体" w:cs="Arial" w:hAnsi="Calibri"/>
      <w:kern w:val="2"/>
      <w:sz w:val="21"/>
      <w:szCs w:val="24"/>
      <w:lang w:val="en-US" w:eastAsia="zh-CN" w:bidi="ar-SA"/>
    </w:rPr>
  </w:style>
  <w:style w:type="paragraph" w:customStyle="1" w:styleId="32">
    <w:name w:val="样式 14 10 磅"/>
    <w:pPr>
      <w:widowControl w:val="0"/>
      <w:jc w:val="both"/>
    </w:pPr>
    <w:rPr>
      <w:rFonts w:ascii="Calibri" w:eastAsia="宋体" w:cs="Arial" w:hAnsi="Calibri"/>
      <w:kern w:val="2"/>
      <w:sz w:val="21"/>
      <w:szCs w:val="24"/>
      <w:lang w:val="en-US" w:eastAsia="zh-CN" w:bidi="ar-SA"/>
    </w:rPr>
  </w:style>
  <w:style w:type="paragraph" w:customStyle="1" w:styleId="33">
    <w:name w:val="样式 15 10 磅"/>
    <w:pPr>
      <w:widowControl w:val="0"/>
      <w:jc w:val="both"/>
    </w:pPr>
    <w:rPr>
      <w:rFonts w:ascii="Calibri" w:eastAsia="宋体" w:cs="Arial" w:hAnsi="Calibri"/>
      <w:kern w:val="2"/>
      <w:sz w:val="21"/>
      <w:szCs w:val="24"/>
      <w:lang w:val="en-US" w:eastAsia="zh-CN" w:bidi="ar-SA"/>
    </w:rPr>
  </w:style>
  <w:style w:type="paragraph" w:customStyle="1" w:styleId="34">
    <w:name w:val="样式 16 10 磅"/>
    <w:pPr>
      <w:widowControl w:val="0"/>
      <w:jc w:val="both"/>
    </w:pPr>
    <w:rPr>
      <w:rFonts w:ascii="Calibri" w:eastAsia="宋体" w:cs="Arial" w:hAnsi="Calibri"/>
      <w:kern w:val="2"/>
      <w:sz w:val="21"/>
      <w:szCs w:val="24"/>
      <w:lang w:val="en-US" w:eastAsia="zh-CN" w:bidi="ar-SA"/>
    </w:rPr>
  </w:style>
  <w:style w:type="paragraph" w:customStyle="1" w:styleId="35">
    <w:name w:val="样式 17 10 磅"/>
    <w:pPr>
      <w:widowControl w:val="0"/>
      <w:jc w:val="both"/>
    </w:pPr>
    <w:rPr>
      <w:rFonts w:ascii="Calibri" w:eastAsia="宋体" w:cs="Arial" w:hAnsi="Calibri"/>
      <w:kern w:val="2"/>
      <w:sz w:val="21"/>
      <w:szCs w:val="24"/>
      <w:lang w:val="en-US" w:eastAsia="zh-CN" w:bidi="ar-SA"/>
    </w:rPr>
  </w:style>
  <w:style w:type="paragraph" w:customStyle="1" w:styleId="36">
    <w:name w:val="样式 18 10 磅"/>
    <w:pPr>
      <w:widowControl w:val="0"/>
      <w:jc w:val="both"/>
    </w:pPr>
    <w:rPr>
      <w:rFonts w:ascii="Calibri" w:eastAsia="宋体" w:cs="Arial" w:hAnsi="Calibri"/>
      <w:kern w:val="2"/>
      <w:sz w:val="21"/>
      <w:szCs w:val="24"/>
      <w:lang w:val="en-US" w:eastAsia="zh-CN" w:bidi="ar-SA"/>
    </w:rPr>
  </w:style>
  <w:style w:type="paragraph" w:customStyle="1" w:styleId="37">
    <w:name w:val="样式 19 10 磅"/>
    <w:pPr>
      <w:widowControl w:val="0"/>
      <w:jc w:val="both"/>
    </w:pPr>
    <w:rPr>
      <w:rFonts w:ascii="Calibri" w:eastAsia="宋体" w:cs="Arial" w:hAnsi="Calibri"/>
      <w:kern w:val="2"/>
      <w:sz w:val="21"/>
      <w:szCs w:val="24"/>
      <w:lang w:val="en-US" w:eastAsia="zh-CN" w:bidi="ar-SA"/>
    </w:rPr>
  </w:style>
  <w:style w:type="paragraph" w:customStyle="1" w:styleId="38">
    <w:name w:val="样式 20 10 磅"/>
    <w:pPr>
      <w:widowControl w:val="0"/>
      <w:jc w:val="both"/>
    </w:pPr>
    <w:rPr>
      <w:rFonts w:ascii="Calibri" w:eastAsia="宋体" w:cs="Arial" w:hAnsi="Calibri"/>
      <w:kern w:val="2"/>
      <w:sz w:val="21"/>
      <w:szCs w:val="24"/>
      <w:lang w:val="en-US" w:eastAsia="zh-CN" w:bidi="ar-SA"/>
    </w:rPr>
  </w:style>
  <w:style w:type="paragraph" w:customStyle="1" w:styleId="39">
    <w:name w:val="样式 21 10 磅"/>
    <w:pPr>
      <w:widowControl w:val="0"/>
      <w:jc w:val="both"/>
    </w:pPr>
    <w:rPr>
      <w:rFonts w:ascii="Calibri" w:eastAsia="宋体" w:cs="Arial" w:hAnsi="Calibri"/>
      <w:kern w:val="2"/>
      <w:sz w:val="21"/>
      <w:szCs w:val="24"/>
      <w:lang w:val="en-US" w:eastAsia="zh-CN" w:bidi="ar-SA"/>
    </w:rPr>
  </w:style>
  <w:style w:type="paragraph" w:customStyle="1" w:styleId="40">
    <w:name w:val="样式 22 10 磅"/>
    <w:pPr>
      <w:widowControl w:val="0"/>
      <w:jc w:val="both"/>
    </w:pPr>
    <w:rPr>
      <w:rFonts w:ascii="Calibri" w:eastAsia="宋体" w:cs="Arial" w:hAnsi="Calibri"/>
      <w:kern w:val="2"/>
      <w:sz w:val="21"/>
      <w:szCs w:val="24"/>
      <w:lang w:val="en-US" w:eastAsia="zh-CN" w:bidi="ar-SA"/>
    </w:rPr>
  </w:style>
  <w:style w:type="paragraph" w:customStyle="1" w:styleId="41">
    <w:name w:val="样式 23 10 磅"/>
    <w:pPr>
      <w:widowControl w:val="0"/>
      <w:jc w:val="both"/>
    </w:pPr>
    <w:rPr>
      <w:rFonts w:ascii="Calibri" w:eastAsia="宋体" w:cs="Arial" w:hAnsi="Calibri"/>
      <w:kern w:val="2"/>
      <w:sz w:val="21"/>
      <w:szCs w:val="24"/>
      <w:lang w:val="en-US" w:eastAsia="zh-CN" w:bidi="ar-SA"/>
    </w:rPr>
  </w:style>
  <w:style w:type="paragraph" w:customStyle="1" w:styleId="42">
    <w:name w:val="样式 24 10 磅"/>
    <w:pPr>
      <w:widowControl w:val="0"/>
      <w:jc w:val="both"/>
    </w:pPr>
    <w:rPr>
      <w:rFonts w:ascii="Calibri" w:eastAsia="宋体" w:cs="Arial" w:hAnsi="Calibri"/>
      <w:kern w:val="2"/>
      <w:sz w:val="21"/>
      <w:szCs w:val="24"/>
      <w:lang w:val="en-US" w:eastAsia="zh-CN" w:bidi="ar-SA"/>
    </w:rPr>
  </w:style>
  <w:style w:type="paragraph" w:customStyle="1" w:styleId="43">
    <w:name w:val="样式 25 10 磅"/>
    <w:pPr>
      <w:widowControl w:val="0"/>
      <w:jc w:val="both"/>
    </w:pPr>
    <w:rPr>
      <w:rFonts w:ascii="Calibri" w:eastAsia="宋体" w:cs="Arial" w:hAnsi="Calibri"/>
      <w:kern w:val="2"/>
      <w:sz w:val="21"/>
      <w:szCs w:val="24"/>
      <w:lang w:val="en-US" w:eastAsia="zh-CN" w:bidi="ar-SA"/>
    </w:rPr>
  </w:style>
  <w:style w:type="paragraph" w:customStyle="1" w:styleId="44">
    <w:name w:val="样式 26 10 磅"/>
    <w:pPr>
      <w:widowControl w:val="0"/>
      <w:jc w:val="both"/>
    </w:pPr>
    <w:rPr>
      <w:rFonts w:ascii="Calibri" w:eastAsia="宋体" w:cs="Arial" w:hAnsi="Calibri"/>
      <w:kern w:val="2"/>
      <w:sz w:val="21"/>
      <w:szCs w:val="24"/>
      <w:lang w:val="en-US" w:eastAsia="zh-CN" w:bidi="ar-SA"/>
    </w:rPr>
  </w:style>
  <w:style w:type="paragraph" w:customStyle="1" w:styleId="45">
    <w:name w:val="样式 27 10 磅"/>
    <w:pPr>
      <w:widowControl w:val="0"/>
      <w:jc w:val="both"/>
    </w:pPr>
    <w:rPr>
      <w:rFonts w:ascii="Calibri" w:eastAsia="宋体" w:cs="Arial" w:hAnsi="Calibri"/>
      <w:kern w:val="2"/>
      <w:sz w:val="21"/>
      <w:szCs w:val="24"/>
      <w:lang w:val="en-US" w:eastAsia="zh-CN" w:bidi="ar-SA"/>
    </w:rPr>
  </w:style>
  <w:style w:type="paragraph" w:customStyle="1" w:styleId="46">
    <w:name w:val="样式 28 10 磅"/>
    <w:pPr>
      <w:widowControl w:val="0"/>
      <w:jc w:val="both"/>
    </w:pPr>
    <w:rPr>
      <w:rFonts w:ascii="Calibri" w:eastAsia="宋体" w:cs="Arial" w:hAnsi="Calibri"/>
      <w:kern w:val="2"/>
      <w:sz w:val="21"/>
      <w:szCs w:val="24"/>
      <w:lang w:val="en-US" w:eastAsia="zh-CN" w:bidi="ar-SA"/>
    </w:rPr>
  </w:style>
  <w:style w:type="paragraph" w:customStyle="1" w:styleId="47">
    <w:name w:val="样式 29 10 磅"/>
    <w:pPr>
      <w:widowControl w:val="0"/>
      <w:jc w:val="both"/>
    </w:pPr>
    <w:rPr>
      <w:rFonts w:ascii="Calibri" w:eastAsia="宋体" w:cs="Arial" w:hAnsi="Calibri"/>
      <w:kern w:val="2"/>
      <w:sz w:val="21"/>
      <w:szCs w:val="24"/>
      <w:lang w:val="en-US" w:eastAsia="zh-CN" w:bidi="ar-SA"/>
    </w:rPr>
  </w:style>
  <w:style w:type="paragraph" w:customStyle="1" w:styleId="48">
    <w:name w:val="样式 30 10 磅"/>
    <w:pPr>
      <w:widowControl w:val="0"/>
      <w:jc w:val="both"/>
    </w:pPr>
    <w:rPr>
      <w:rFonts w:ascii="Calibri" w:eastAsia="宋体" w:cs="Arial" w:hAnsi="Calibri"/>
      <w:kern w:val="2"/>
      <w:sz w:val="21"/>
      <w:szCs w:val="24"/>
      <w:lang w:val="en-US" w:eastAsia="zh-CN" w:bidi="ar-SA"/>
    </w:rPr>
  </w:style>
  <w:style w:type="paragraph" w:customStyle="1" w:styleId="49">
    <w:name w:val="样式 31 10 磅"/>
    <w:pPr>
      <w:widowControl w:val="0"/>
      <w:jc w:val="both"/>
    </w:pPr>
    <w:rPr>
      <w:rFonts w:ascii="Calibri" w:eastAsia="宋体" w:cs="Arial" w:hAnsi="Calibri"/>
      <w:kern w:val="2"/>
      <w:sz w:val="21"/>
      <w:szCs w:val="24"/>
      <w:lang w:val="en-US" w:eastAsia="zh-CN" w:bidi="ar-SA"/>
    </w:rPr>
  </w:style>
  <w:style w:type="paragraph" w:customStyle="1" w:styleId="50">
    <w:name w:val="样式 32 10 磅"/>
    <w:pPr>
      <w:widowControl w:val="0"/>
      <w:jc w:val="both"/>
    </w:pPr>
    <w:rPr>
      <w:rFonts w:ascii="Calibri" w:eastAsia="宋体" w:cs="Arial" w:hAnsi="Calibri"/>
      <w:kern w:val="2"/>
      <w:sz w:val="21"/>
      <w:szCs w:val="24"/>
      <w:lang w:val="en-US" w:eastAsia="zh-CN" w:bidi="ar-SA"/>
    </w:rPr>
  </w:style>
  <w:style w:type="paragraph" w:customStyle="1" w:styleId="51">
    <w:name w:val="样式 33 10 磅"/>
    <w:pPr>
      <w:widowControl w:val="0"/>
      <w:jc w:val="both"/>
    </w:pPr>
    <w:rPr>
      <w:rFonts w:ascii="Calibri" w:eastAsia="宋体" w:cs="Arial" w:hAnsi="Calibri"/>
      <w:kern w:val="2"/>
      <w:sz w:val="21"/>
      <w:szCs w:val="24"/>
      <w:lang w:val="en-US" w:eastAsia="zh-CN" w:bidi="ar-SA"/>
    </w:rPr>
  </w:style>
  <w:style w:type="paragraph" w:customStyle="1" w:styleId="52">
    <w:name w:val="样式 34 10 磅"/>
    <w:pPr>
      <w:widowControl w:val="0"/>
      <w:jc w:val="both"/>
    </w:pPr>
    <w:rPr>
      <w:rFonts w:ascii="Calibri" w:eastAsia="宋体" w:cs="Arial" w:hAnsi="Calibri"/>
      <w:kern w:val="2"/>
      <w:sz w:val="21"/>
      <w:szCs w:val="24"/>
      <w:lang w:val="en-US" w:eastAsia="zh-CN" w:bidi="ar-SA"/>
    </w:rPr>
  </w:style>
  <w:style w:type="paragraph" w:customStyle="1" w:styleId="53">
    <w:name w:val="样式 35 10 磅"/>
    <w:pPr>
      <w:widowControl w:val="0"/>
      <w:jc w:val="both"/>
    </w:pPr>
    <w:rPr>
      <w:rFonts w:ascii="Calibri" w:eastAsia="宋体" w:cs="Arial" w:hAnsi="Calibri"/>
      <w:kern w:val="2"/>
      <w:sz w:val="21"/>
      <w:szCs w:val="24"/>
      <w:lang w:val="en-US" w:eastAsia="zh-CN" w:bidi="ar-SA"/>
    </w:rPr>
  </w:style>
  <w:style w:type="paragraph" w:customStyle="1" w:styleId="54">
    <w:name w:val="样式 36 10 磅"/>
    <w:pPr>
      <w:widowControl w:val="0"/>
      <w:jc w:val="both"/>
    </w:pPr>
    <w:rPr>
      <w:rFonts w:ascii="Calibri" w:eastAsia="宋体" w:cs="Arial" w:hAnsi="Calibri"/>
      <w:kern w:val="2"/>
      <w:sz w:val="21"/>
      <w:szCs w:val="24"/>
      <w:lang w:val="en-US" w:eastAsia="zh-CN" w:bidi="ar-SA"/>
    </w:rPr>
  </w:style>
  <w:style w:type="paragraph" w:customStyle="1" w:styleId="55">
    <w:name w:val="样式 37 10 磅"/>
    <w:pPr>
      <w:widowControl w:val="0"/>
      <w:jc w:val="both"/>
    </w:pPr>
    <w:rPr>
      <w:rFonts w:ascii="Calibri" w:eastAsia="宋体" w:cs="Arial" w:hAnsi="Calibri"/>
      <w:kern w:val="2"/>
      <w:sz w:val="21"/>
      <w:szCs w:val="24"/>
      <w:lang w:val="en-US" w:eastAsia="zh-CN" w:bidi="ar-SA"/>
    </w:rPr>
  </w:style>
  <w:style w:type="paragraph" w:customStyle="1" w:styleId="56">
    <w:name w:val="样式 38 10 磅"/>
    <w:pPr>
      <w:widowControl w:val="0"/>
      <w:jc w:val="both"/>
    </w:pPr>
    <w:rPr>
      <w:rFonts w:ascii="Calibri" w:eastAsia="宋体" w:cs="Arial" w:hAnsi="Calibri"/>
      <w:kern w:val="2"/>
      <w:sz w:val="21"/>
      <w:szCs w:val="24"/>
      <w:lang w:val="en-US" w:eastAsia="zh-CN" w:bidi="ar-SA"/>
    </w:rPr>
  </w:style>
  <w:style w:type="paragraph" w:customStyle="1" w:styleId="57">
    <w:name w:val="样式 39 10 磅"/>
    <w:pPr>
      <w:widowControl w:val="0"/>
      <w:jc w:val="both"/>
    </w:pPr>
    <w:rPr>
      <w:rFonts w:ascii="Calibri" w:eastAsia="宋体" w:cs="Arial" w:hAnsi="Calibri"/>
      <w:kern w:val="2"/>
      <w:sz w:val="21"/>
      <w:szCs w:val="24"/>
      <w:lang w:val="en-US" w:eastAsia="zh-CN" w:bidi="ar-SA"/>
    </w:rPr>
  </w:style>
  <w:style w:type="paragraph" w:customStyle="1" w:styleId="58">
    <w:name w:val="样式 40 10 磅"/>
    <w:pPr>
      <w:widowControl w:val="0"/>
      <w:jc w:val="both"/>
    </w:pPr>
    <w:rPr>
      <w:rFonts w:ascii="Calibri" w:eastAsia="宋体" w:cs="Arial" w:hAnsi="Calibri"/>
      <w:kern w:val="2"/>
      <w:sz w:val="21"/>
      <w:szCs w:val="24"/>
      <w:lang w:val="en-US" w:eastAsia="zh-CN" w:bidi="ar-SA"/>
    </w:rPr>
  </w:style>
  <w:style w:type="paragraph" w:customStyle="1" w:styleId="59">
    <w:name w:val="样式 41 10 磅"/>
    <w:pPr>
      <w:widowControl w:val="0"/>
      <w:jc w:val="both"/>
    </w:pPr>
    <w:rPr>
      <w:rFonts w:ascii="Calibri" w:eastAsia="宋体" w:cs="Arial" w:hAnsi="Calibri"/>
      <w:kern w:val="2"/>
      <w:sz w:val="21"/>
      <w:szCs w:val="24"/>
      <w:lang w:val="en-US" w:eastAsia="zh-CN" w:bidi="ar-SA"/>
    </w:rPr>
  </w:style>
  <w:style w:type="paragraph" w:customStyle="1" w:styleId="60">
    <w:name w:val="样式 42 10 磅"/>
    <w:pPr>
      <w:widowControl w:val="0"/>
      <w:jc w:val="both"/>
    </w:pPr>
    <w:rPr>
      <w:rFonts w:ascii="Calibri" w:eastAsia="宋体" w:cs="Arial" w:hAnsi="Calibri"/>
      <w:kern w:val="2"/>
      <w:sz w:val="21"/>
      <w:szCs w:val="24"/>
      <w:lang w:val="en-US" w:eastAsia="zh-CN" w:bidi="ar-SA"/>
    </w:rPr>
  </w:style>
  <w:style w:type="paragraph" w:customStyle="1" w:styleId="61">
    <w:name w:val="样式 43 10 磅"/>
    <w:pPr>
      <w:widowControl w:val="0"/>
      <w:jc w:val="both"/>
    </w:pPr>
    <w:rPr>
      <w:rFonts w:ascii="Calibri" w:eastAsia="宋体" w:cs="Arial" w:hAnsi="Calibri"/>
      <w:kern w:val="2"/>
      <w:sz w:val="21"/>
      <w:szCs w:val="24"/>
      <w:lang w:val="en-US" w:eastAsia="zh-CN" w:bidi="ar-SA"/>
    </w:rPr>
  </w:style>
  <w:style w:type="paragraph" w:customStyle="1" w:styleId="62">
    <w:name w:val="样式 44 10 磅"/>
    <w:pPr>
      <w:widowControl w:val="0"/>
      <w:jc w:val="both"/>
    </w:pPr>
    <w:rPr>
      <w:rFonts w:ascii="Calibri" w:eastAsia="宋体" w:cs="Arial" w:hAnsi="Calibri"/>
      <w:kern w:val="2"/>
      <w:sz w:val="21"/>
      <w:szCs w:val="24"/>
      <w:lang w:val="en-US" w:eastAsia="zh-CN" w:bidi="ar-SA"/>
    </w:rPr>
  </w:style>
  <w:style w:type="paragraph" w:customStyle="1" w:styleId="63">
    <w:name w:val="样式 45 10 磅"/>
    <w:pPr>
      <w:widowControl w:val="0"/>
      <w:jc w:val="both"/>
    </w:pPr>
    <w:rPr>
      <w:rFonts w:ascii="Calibri" w:eastAsia="宋体" w:cs="Arial" w:hAnsi="Calibri"/>
      <w:kern w:val="2"/>
      <w:sz w:val="21"/>
      <w:szCs w:val="24"/>
      <w:lang w:val="en-US" w:eastAsia="zh-CN" w:bidi="ar-SA"/>
    </w:rPr>
  </w:style>
  <w:style w:type="paragraph" w:customStyle="1" w:styleId="64">
    <w:name w:val="样式 46 10 磅"/>
    <w:pPr>
      <w:widowControl w:val="0"/>
      <w:jc w:val="both"/>
    </w:pPr>
    <w:rPr>
      <w:rFonts w:ascii="Calibri" w:eastAsia="宋体" w:cs="Arial" w:hAnsi="Calibri"/>
      <w:kern w:val="2"/>
      <w:sz w:val="21"/>
      <w:szCs w:val="24"/>
      <w:lang w:val="en-US" w:eastAsia="zh-CN" w:bidi="ar-SA"/>
    </w:rPr>
  </w:style>
  <w:style w:type="paragraph" w:customStyle="1" w:styleId="65">
    <w:name w:val="样式 47 10 磅"/>
    <w:pPr>
      <w:widowControl w:val="0"/>
      <w:jc w:val="both"/>
    </w:pPr>
    <w:rPr>
      <w:rFonts w:ascii="Calibri" w:eastAsia="宋体" w:cs="Arial" w:hAnsi="Calibri"/>
      <w:kern w:val="2"/>
      <w:sz w:val="21"/>
      <w:szCs w:val="24"/>
      <w:lang w:val="en-US" w:eastAsia="zh-CN" w:bidi="ar-SA"/>
    </w:rPr>
  </w:style>
  <w:style w:type="paragraph" w:customStyle="1" w:styleId="66">
    <w:name w:val="样式 48 10 磅"/>
    <w:pPr>
      <w:widowControl w:val="0"/>
      <w:jc w:val="both"/>
    </w:pPr>
    <w:rPr>
      <w:rFonts w:ascii="Calibri" w:eastAsia="宋体" w:cs="Arial" w:hAnsi="Calibri"/>
      <w:kern w:val="2"/>
      <w:sz w:val="21"/>
      <w:szCs w:val="24"/>
      <w:lang w:val="en-US" w:eastAsia="zh-CN" w:bidi="ar-SA"/>
    </w:rPr>
  </w:style>
  <w:style w:type="paragraph" w:customStyle="1" w:styleId="67">
    <w:name w:val="样式 49 10 磅"/>
    <w:pPr>
      <w:widowControl w:val="0"/>
      <w:jc w:val="both"/>
    </w:pPr>
    <w:rPr>
      <w:rFonts w:ascii="Calibri" w:eastAsia="宋体" w:cs="Arial" w:hAnsi="Calibri"/>
      <w:kern w:val="2"/>
      <w:sz w:val="21"/>
      <w:szCs w:val="24"/>
      <w:lang w:val="en-US" w:eastAsia="zh-CN" w:bidi="ar-SA"/>
    </w:rPr>
  </w:style>
  <w:style w:type="paragraph" w:customStyle="1" w:styleId="68">
    <w:name w:val="样式 50 10 磅"/>
    <w:pPr>
      <w:widowControl w:val="0"/>
      <w:jc w:val="both"/>
    </w:pPr>
    <w:rPr>
      <w:rFonts w:ascii="Calibri" w:eastAsia="宋体" w:cs="Arial" w:hAnsi="Calibri"/>
      <w:kern w:val="2"/>
      <w:sz w:val="21"/>
      <w:szCs w:val="24"/>
      <w:lang w:val="en-US" w:eastAsia="zh-CN" w:bidi="ar-SA"/>
    </w:rPr>
  </w:style>
  <w:style w:type="paragraph" w:customStyle="1" w:styleId="69">
    <w:name w:val="样式 51 10 磅"/>
    <w:pPr>
      <w:widowControl w:val="0"/>
      <w:jc w:val="both"/>
    </w:pPr>
    <w:rPr>
      <w:rFonts w:ascii="Calibri" w:eastAsia="宋体" w:cs="Arial" w:hAnsi="Calibri"/>
      <w:kern w:val="2"/>
      <w:sz w:val="21"/>
      <w:szCs w:val="24"/>
      <w:lang w:val="en-US" w:eastAsia="zh-CN" w:bidi="ar-SA"/>
    </w:rPr>
  </w:style>
  <w:style w:type="paragraph" w:customStyle="1" w:styleId="70">
    <w:name w:val="样式 52 10 磅"/>
    <w:pPr>
      <w:widowControl w:val="0"/>
      <w:jc w:val="both"/>
    </w:pPr>
    <w:rPr>
      <w:rFonts w:ascii="Calibri" w:eastAsia="宋体" w:cs="Arial" w:hAnsi="Calibri"/>
      <w:kern w:val="2"/>
      <w:sz w:val="21"/>
      <w:szCs w:val="24"/>
      <w:lang w:val="en-US" w:eastAsia="zh-CN" w:bidi="ar-SA"/>
    </w:rPr>
  </w:style>
  <w:style w:type="paragraph" w:customStyle="1" w:styleId="71">
    <w:name w:val="样式 53 10 磅"/>
    <w:pPr>
      <w:widowControl w:val="0"/>
      <w:jc w:val="both"/>
    </w:pPr>
    <w:rPr>
      <w:rFonts w:ascii="Calibri" w:eastAsia="宋体" w:cs="Arial" w:hAnsi="Calibri"/>
      <w:kern w:val="2"/>
      <w:sz w:val="21"/>
      <w:szCs w:val="24"/>
      <w:lang w:val="en-US" w:eastAsia="zh-CN" w:bidi="ar-SA"/>
    </w:rPr>
  </w:style>
  <w:style w:type="paragraph" w:customStyle="1" w:styleId="72">
    <w:name w:val="样式 54 10 磅"/>
    <w:pPr>
      <w:widowControl w:val="0"/>
      <w:jc w:val="both"/>
    </w:pPr>
    <w:rPr>
      <w:rFonts w:ascii="Calibri" w:eastAsia="宋体" w:cs="Arial" w:hAnsi="Calibri"/>
      <w:kern w:val="2"/>
      <w:sz w:val="21"/>
      <w:szCs w:val="24"/>
      <w:lang w:val="en-US" w:eastAsia="zh-CN" w:bidi="ar-SA"/>
    </w:rPr>
  </w:style>
  <w:style w:type="paragraph" w:customStyle="1" w:styleId="73">
    <w:name w:val="样式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55 10 磅"/>
    <w:pPr>
      <w:widowControl w:val="0"/>
      <w:jc w:val="both"/>
    </w:pPr>
    <w:rPr>
      <w:rFonts w:ascii="Calibri" w:eastAsia="宋体" w:cs="Arial" w:hAnsi="Calibri"/>
      <w:kern w:val="2"/>
      <w:sz w:val="21"/>
      <w:szCs w:val="24"/>
      <w:lang w:val="en-US" w:eastAsia="zh-CN" w:bidi="ar-SA"/>
    </w:rPr>
  </w:style>
  <w:style w:type="paragraph" w:customStyle="1" w:styleId="75">
    <w:name w:val="样式 56 10 磅"/>
    <w:pPr>
      <w:widowControl w:val="0"/>
      <w:jc w:val="both"/>
    </w:pPr>
    <w:rPr>
      <w:rFonts w:ascii="Calibri" w:eastAsia="宋体" w:cs="Arial" w:hAnsi="Calibri"/>
      <w:kern w:val="2"/>
      <w:sz w:val="21"/>
      <w:szCs w:val="24"/>
      <w:lang w:val="en-US" w:eastAsia="zh-CN" w:bidi="ar-SA"/>
    </w:rPr>
  </w:style>
  <w:style w:type="paragraph" w:customStyle="1" w:styleId="76">
    <w:name w:val="样式 57 10 磅"/>
    <w:pPr>
      <w:widowControl w:val="0"/>
      <w:jc w:val="both"/>
    </w:pPr>
    <w:rPr>
      <w:rFonts w:ascii="Calibri" w:eastAsia="宋体" w:cs="Arial" w:hAnsi="Calibri"/>
      <w:kern w:val="2"/>
      <w:sz w:val="21"/>
      <w:szCs w:val="24"/>
      <w:lang w:val="en-US" w:eastAsia="zh-CN" w:bidi="ar-SA"/>
    </w:rPr>
  </w:style>
  <w:style w:type="paragraph" w:customStyle="1" w:styleId="77">
    <w:name w:val="样式 58 10 磅"/>
    <w:pPr>
      <w:widowControl w:val="0"/>
      <w:jc w:val="both"/>
    </w:pPr>
    <w:rPr>
      <w:rFonts w:ascii="Calibri" w:eastAsia="宋体" w:cs="Arial" w:hAnsi="Calibri"/>
      <w:kern w:val="2"/>
      <w:sz w:val="21"/>
      <w:szCs w:val="24"/>
      <w:lang w:val="en-US" w:eastAsia="zh-CN" w:bidi="ar-SA"/>
    </w:rPr>
  </w:style>
  <w:style w:type="paragraph" w:customStyle="1" w:styleId="78">
    <w:name w:val="样式 59 10 磅"/>
    <w:pPr>
      <w:widowControl w:val="0"/>
      <w:jc w:val="both"/>
    </w:pPr>
    <w:rPr>
      <w:rFonts w:ascii="Calibri" w:eastAsia="宋体" w:cs="Arial" w:hAnsi="Calibri"/>
      <w:kern w:val="2"/>
      <w:sz w:val="21"/>
      <w:szCs w:val="24"/>
      <w:lang w:val="en-US" w:eastAsia="zh-CN" w:bidi="ar-SA"/>
    </w:rPr>
  </w:style>
  <w:style w:type="paragraph" w:customStyle="1" w:styleId="79">
    <w:name w:val="样式 60 10 磅"/>
    <w:pPr>
      <w:widowControl w:val="0"/>
      <w:jc w:val="both"/>
    </w:pPr>
    <w:rPr>
      <w:rFonts w:ascii="Calibri" w:eastAsia="宋体" w:cs="Arial" w:hAnsi="Calibri"/>
      <w:kern w:val="2"/>
      <w:sz w:val="21"/>
      <w:szCs w:val="24"/>
      <w:lang w:val="en-US" w:eastAsia="zh-CN" w:bidi="ar-SA"/>
    </w:rPr>
  </w:style>
  <w:style w:type="paragraph" w:customStyle="1" w:styleId="80">
    <w:name w:val="样式 61 10 磅"/>
    <w:pPr>
      <w:widowControl w:val="0"/>
      <w:jc w:val="both"/>
    </w:pPr>
    <w:rPr>
      <w:rFonts w:ascii="Calibri" w:eastAsia="宋体" w:cs="Arial" w:hAnsi="Calibri"/>
      <w:kern w:val="2"/>
      <w:sz w:val="21"/>
      <w:szCs w:val="24"/>
      <w:lang w:val="en-US" w:eastAsia="zh-CN" w:bidi="ar-SA"/>
    </w:rPr>
  </w:style>
  <w:style w:type="paragraph" w:customStyle="1" w:styleId="81">
    <w:name w:val="样式 62 10 磅"/>
    <w:pPr>
      <w:widowControl w:val="0"/>
      <w:jc w:val="both"/>
    </w:pPr>
    <w:rPr>
      <w:rFonts w:ascii="Calibri" w:eastAsia="宋体" w:cs="Arial" w:hAnsi="Calibri"/>
      <w:kern w:val="2"/>
      <w:sz w:val="21"/>
      <w:szCs w:val="24"/>
      <w:lang w:val="en-US" w:eastAsia="zh-CN" w:bidi="ar-SA"/>
    </w:rPr>
  </w:style>
  <w:style w:type="paragraph" w:customStyle="1" w:styleId="82">
    <w:name w:val="样式 63 10 磅"/>
    <w:pPr>
      <w:widowControl w:val="0"/>
      <w:jc w:val="both"/>
    </w:pPr>
    <w:rPr>
      <w:rFonts w:ascii="Calibri" w:eastAsia="宋体" w:cs="Arial" w:hAnsi="Calibri"/>
      <w:kern w:val="2"/>
      <w:sz w:val="21"/>
      <w:szCs w:val="24"/>
      <w:lang w:val="en-US" w:eastAsia="zh-CN" w:bidi="ar-SA"/>
    </w:rPr>
  </w:style>
  <w:style w:type="paragraph" w:customStyle="1" w:styleId="83">
    <w:name w:val="样式 64 10 磅"/>
    <w:pPr>
      <w:widowControl w:val="0"/>
      <w:jc w:val="both"/>
    </w:pPr>
    <w:rPr>
      <w:rFonts w:ascii="Calibri" w:eastAsia="宋体" w:cs="Arial" w:hAnsi="Calibri"/>
      <w:kern w:val="2"/>
      <w:sz w:val="21"/>
      <w:szCs w:val="24"/>
      <w:lang w:val="en-US" w:eastAsia="zh-CN" w:bidi="ar-SA"/>
    </w:rPr>
  </w:style>
  <w:style w:type="paragraph" w:customStyle="1" w:styleId="84">
    <w:name w:val="样式 65 10 磅"/>
    <w:pPr>
      <w:widowControl w:val="0"/>
      <w:jc w:val="both"/>
    </w:pPr>
    <w:rPr>
      <w:rFonts w:ascii="Calibri" w:eastAsia="宋体" w:cs="Arial" w:hAnsi="Calibri"/>
      <w:kern w:val="2"/>
      <w:sz w:val="21"/>
      <w:szCs w:val="24"/>
      <w:lang w:val="en-US" w:eastAsia="zh-CN" w:bidi="ar-SA"/>
    </w:rPr>
  </w:style>
  <w:style w:type="paragraph" w:customStyle="1" w:styleId="85">
    <w:name w:val="样式 66 10 磅"/>
    <w:pPr>
      <w:widowControl w:val="0"/>
      <w:jc w:val="both"/>
    </w:pPr>
    <w:rPr>
      <w:rFonts w:ascii="Calibri" w:eastAsia="宋体" w:cs="Arial" w:hAnsi="Calibri"/>
      <w:kern w:val="2"/>
      <w:sz w:val="21"/>
      <w:szCs w:val="24"/>
      <w:lang w:val="en-US" w:eastAsia="zh-CN" w:bidi="ar-SA"/>
    </w:rPr>
  </w:style>
  <w:style w:type="paragraph" w:customStyle="1" w:styleId="86">
    <w:name w:val="样式 67 10 磅"/>
    <w:pPr>
      <w:widowControl w:val="0"/>
      <w:jc w:val="both"/>
    </w:pPr>
    <w:rPr>
      <w:rFonts w:ascii="Calibri" w:eastAsia="宋体" w:cs="Arial" w:hAnsi="Calibri"/>
      <w:kern w:val="2"/>
      <w:sz w:val="21"/>
      <w:szCs w:val="24"/>
      <w:lang w:val="en-US" w:eastAsia="zh-CN" w:bidi="ar-SA"/>
    </w:rPr>
  </w:style>
  <w:style w:type="paragraph" w:customStyle="1" w:styleId="87">
    <w:name w:val="样式 68 10 磅"/>
    <w:pPr>
      <w:widowControl w:val="0"/>
      <w:jc w:val="both"/>
    </w:pPr>
    <w:rPr>
      <w:rFonts w:ascii="Calibri" w:eastAsia="宋体" w:cs="Arial" w:hAnsi="Calibri"/>
      <w:kern w:val="2"/>
      <w:sz w:val="21"/>
      <w:szCs w:val="24"/>
      <w:lang w:val="en-US" w:eastAsia="zh-CN" w:bidi="ar-SA"/>
    </w:rPr>
  </w:style>
  <w:style w:type="paragraph" w:customStyle="1" w:styleId="88">
    <w:name w:val="样式 73 10 磅"/>
    <w:pPr>
      <w:widowControl w:val="0"/>
      <w:jc w:val="both"/>
    </w:pPr>
    <w:rPr>
      <w:rFonts w:ascii="Times New Roman" w:eastAsia="宋体" w:cs="Times New Roman" w:hAnsi="Times New Roman"/>
      <w:kern w:val="2"/>
      <w:sz w:val="21"/>
      <w:szCs w:val="22"/>
      <w:lang w:val="en-US" w:eastAsia="zh-CN" w:bidi="ar-SA"/>
    </w:rPr>
  </w:style>
  <w:style w:type="paragraph" w:customStyle="1" w:styleId="89">
    <w:name w:val="样式 14 三号"/>
    <w:pPr>
      <w:widowControl w:val="0"/>
      <w:spacing w:line="240" w:lineRule="auto"/>
      <w:jc w:val="both"/>
    </w:pPr>
    <w:rPr>
      <w:rFonts w:ascii="Times New Roman" w:eastAsia="方正仿宋_GBK" w:cs="Times New Roman" w:hAnsi="Times New Roman"/>
      <w:kern w:val="2"/>
      <w:sz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10</Pages>
  <Words>4870</Words>
  <Characters>5396</Characters>
  <Lines>300</Lines>
  <Paragraphs>169</Paragraphs>
  <CharactersWithSpaces>5865</CharactersWithSpaces>
  <Company>MC SYSTEM</Company>
</Properties>
</file>

<file path=docProps/core.xml><?xml version="1.0" encoding="utf-8"?>
<cp:coreProperties xmlns:cp="http://schemas.openxmlformats.org/package/2006/metadata/core-properties" xmlns:dc="http://purl.org/dc/elements/1.1/" xmlns:dcterms="http://purl.org/dc/terms/" xmlns:xsi="http://www.w3.org/2001/XMLSchema-instance">
  <dc:title>询价函</dc:title>
  <dc:creator>苏信宇(综合技术服务中心/柳州局/广西局)</dc:creator>
  <cp:lastModifiedBy>杨志</cp:lastModifiedBy>
  <cp:revision>6</cp:revision>
  <dcterms:created xsi:type="dcterms:W3CDTF">2017-08-01T08:32:00Z</dcterms:created>
  <dcterms:modified xsi:type="dcterms:W3CDTF">2026-06-15T07:59:25Z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2052-10.8.2.7119</vt:lpwstr>
  </property>
</Properties>
</file>